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pPr>
      <w:r>
        <w:rPr>
          <w:rFonts w:ascii="Trebuchet MS" w:hAnsi="Trebuchet MS"/>
          <w:b/>
          <w:sz w:val="20"/>
        </w:rPr>
        <w:t>St. Joseph's Anglo-Chinese School</w:t>
      </w:r>
    </w:p>
    <w:p>
      <w:pPr>
        <w:spacing w:after="0" w:line="240" w:lineRule="auto"/>
      </w:pPr>
      <w:r>
        <w:rPr>
          <w:rFonts w:ascii="Trebuchet MS" w:hAnsi="Trebuchet MS"/>
          <w:b/>
          <w:sz w:val="20"/>
        </w:rPr>
        <w:t>F.6 English Language</w:t>
      </w:r>
    </w:p>
    <w:p>
      <w:pPr>
        <w:spacing w:after="200" w:line="240" w:lineRule="auto"/>
      </w:pPr>
      <w:r>
        <w:rPr>
          <w:rFonts w:ascii="Trebuchet MS" w:hAnsi="Trebuchet MS"/>
          <w:b/>
          <w:sz w:val="20"/>
        </w:rPr>
        <w:t>Grammar &amp; Writing – Lesson 3: Discussing Solutions</w:t>
      </w:r>
    </w:p>
    <w:p>
      <w:pPr>
        <w:spacing w:after="240"/>
      </w:pPr>
      <w:r>
        <w:rPr>
          <w:b/>
          <w:color w:val="C00000"/>
        </w:rPr>
        <w:t>TEACHER’S VERSION — answers, model answers and teaching notes are printed in red.</w:t>
      </w:r>
    </w:p>
    <w:p>
      <w:pPr>
        <w:spacing w:before="160" w:after="120"/>
      </w:pPr>
      <w:r>
        <w:rPr>
          <w:b/>
        </w:rPr>
        <w:t>PART A: PROOFREADING (10 SENTENCES)</w:t>
      </w:r>
    </w:p>
    <w:p>
      <w:r>
        <w:rPr>
          <w:b w:val="0"/>
        </w:rPr>
        <w:t>Each sentence below uses one of the patterns you learnt in Lesson 1 (introductions) or Lesson 2 (argument topic sentences), but the content is new. Each sentence contains TWO errors. The errors are the common ones — agreement, tense, verb forms, parts of speech, plurals and articles — and most of them interrupt the structure of the sentence, so read the whole sentence before you correct it.</w:t>
      </w:r>
    </w:p>
    <w:tbl>
      <w:tblPr>
        <w:tblStyle w:val="TableGrid"/>
        <w:tblW w:type="auto" w:w="0"/>
        <w:jc w:val="left"/>
        <w:tblLayout w:type="fixed"/>
        <w:tblLook w:firstColumn="1" w:firstRow="1" w:lastColumn="0" w:lastRow="0" w:noHBand="0" w:noVBand="1" w:val="04A0"/>
        <w:tblLayout w:type="fixed"/>
      </w:tblPr>
      <w:tblGrid>
        <w:gridCol w:w="9638"/>
      </w:tblGrid>
      <w:tr>
        <w:tc>
          <w:tcPr>
            <w:tcW w:type="dxa" w:w="9638"/>
          </w:tcPr>
          <w:p>
            <w:r>
              <w:rPr>
                <w:b/>
              </w:rPr>
              <w:t xml:space="preserve">1. </w:t>
            </w:r>
            <w:r>
              <w:rPr>
                <w:b w:val="0"/>
              </w:rPr>
              <w:t>In recent years, food delivery apps have became an indispensably part of daily life for busy office workers.</w:t>
            </w:r>
          </w:p>
          <w:p>
            <w:r>
              <w:rPr>
                <w:b/>
              </w:rPr>
              <w:t xml:space="preserve">2. </w:t>
            </w:r>
            <w:r>
              <w:rPr>
                <w:b w:val="0"/>
              </w:rPr>
              <w:t>Living in a fast-paced society, commuters is constantly exposed to noise pollutions.</w:t>
            </w:r>
          </w:p>
          <w:p>
            <w:r>
              <w:rPr>
                <w:b/>
              </w:rPr>
              <w:t xml:space="preserve">3. </w:t>
            </w:r>
            <w:r>
              <w:rPr>
                <w:b w:val="0"/>
              </w:rPr>
              <w:t>In recent times, the issue of the ageing population has spark widespread concern across the society.</w:t>
            </w:r>
          </w:p>
          <w:p>
            <w:r>
              <w:rPr>
                <w:b/>
              </w:rPr>
              <w:t xml:space="preserve">4. </w:t>
            </w:r>
            <w:r>
              <w:rPr>
                <w:b w:val="0"/>
              </w:rPr>
              <w:t>It is undeniable that early childhood education play a pivotal role in shape children’s characters.</w:t>
            </w:r>
          </w:p>
          <w:p>
            <w:r>
              <w:rPr>
                <w:b/>
              </w:rPr>
              <w:t xml:space="preserve">5. </w:t>
            </w:r>
            <w:r>
              <w:rPr>
                <w:b w:val="0"/>
              </w:rPr>
              <w:t>To begin with, cultural exchange programmes offers students a golden opportunity to broaden their horizon, paving the way for a global career.</w:t>
            </w:r>
          </w:p>
          <w:p>
            <w:r>
              <w:rPr>
                <w:b/>
              </w:rPr>
              <w:t xml:space="preserve">6. </w:t>
            </w:r>
            <w:r>
              <w:rPr>
                <w:b w:val="0"/>
              </w:rPr>
              <w:t>To begin with, joining the school choir offers teenagers a golden opportunity to make new friends, paved the way for a more confidently attitude to school life.</w:t>
            </w:r>
          </w:p>
          <w:p>
            <w:r>
              <w:rPr>
                <w:b/>
              </w:rPr>
              <w:t xml:space="preserve">7. </w:t>
            </w:r>
            <w:r>
              <w:rPr>
                <w:b w:val="0"/>
              </w:rPr>
              <w:t>From the perspective of parents, school counselling services allows them to understand their children better, which in turn strengthen family relationships.</w:t>
            </w:r>
          </w:p>
          <w:p>
            <w:r>
              <w:rPr>
                <w:b/>
              </w:rPr>
              <w:t xml:space="preserve">8. </w:t>
            </w:r>
            <w:r>
              <w:rPr>
                <w:b w:val="0"/>
              </w:rPr>
              <w:t>School libraries serves as a powerful means of encourage students to read, which enables them to become lifelong learners.</w:t>
            </w:r>
          </w:p>
          <w:p>
            <w:r>
              <w:rPr>
                <w:b/>
              </w:rPr>
              <w:t xml:space="preserve">9. </w:t>
            </w:r>
            <w:r>
              <w:rPr>
                <w:b w:val="0"/>
              </w:rPr>
              <w:t>Admittedly, e-books are more convenient, nevertheless, printed books remain irreplaceable, as reading on paper help readers to concentrate better.</w:t>
            </w:r>
          </w:p>
          <w:p>
            <w:r>
              <w:rPr>
                <w:b/>
              </w:rPr>
              <w:t xml:space="preserve">10. </w:t>
            </w:r>
            <w:r>
              <w:rPr>
                <w:b w:val="0"/>
              </w:rPr>
              <w:t>It is undeniable that a balanced diet play a pivot role in maintaining students’ health.</w:t>
            </w:r>
          </w:p>
        </w:tc>
      </w:tr>
    </w:tbl>
    <w:p>
      <w:pPr>
        <w:spacing w:after="0"/>
      </w:pPr>
    </w:p>
    <w:p>
      <w:pPr>
        <w:spacing w:before="160" w:after="120"/>
      </w:pPr>
      <w:r>
        <w:rPr>
          <w:b/>
        </w:rPr>
        <w:t>TEACHER’S ANSWERS (LESSON 3, PART A)</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c>
          <w:tcPr>
            <w:tcW w:type="dxa" w:w="567"/>
            <w:shd w:val="clear" w:color="auto" w:fill="D9D9D9"/>
          </w:tcPr>
          <w:p>
            <w:r>
              <w:rPr>
                <w:b/>
              </w:rPr>
              <w:t>Item</w:t>
            </w:r>
          </w:p>
        </w:tc>
        <w:tc>
          <w:tcPr>
            <w:tcW w:type="dxa" w:w="4422"/>
            <w:shd w:val="clear" w:color="auto" w:fill="D9D9D9"/>
          </w:tcPr>
          <w:p>
            <w:r>
              <w:rPr>
                <w:b/>
              </w:rPr>
              <w:t>Corrected sentence</w:t>
            </w:r>
          </w:p>
        </w:tc>
        <w:tc>
          <w:tcPr>
            <w:tcW w:type="dxa" w:w="4649"/>
            <w:shd w:val="clear" w:color="auto" w:fill="D9D9D9"/>
          </w:tcPr>
          <w:p>
            <w:r>
              <w:rPr>
                <w:b/>
              </w:rPr>
              <w:t>The TWO errors and why</w:t>
            </w:r>
          </w:p>
        </w:tc>
      </w:tr>
      <w:tr>
        <w:tc>
          <w:tcPr>
            <w:tcW w:type="dxa" w:w="567"/>
          </w:tcPr>
          <w:p>
            <w:r>
              <w:rPr>
                <w:b/>
                <w:color w:val="C00000"/>
              </w:rPr>
              <w:t>1</w:t>
            </w:r>
          </w:p>
        </w:tc>
        <w:tc>
          <w:tcPr>
            <w:tcW w:type="dxa" w:w="4422"/>
          </w:tcPr>
          <w:p>
            <w:r>
              <w:rPr>
                <w:b w:val="0"/>
                <w:color w:val="C00000"/>
              </w:rPr>
              <w:t>In recent years, food delivery apps have become an indispensable part of daily life for busy office workers.</w:t>
            </w:r>
          </w:p>
        </w:tc>
        <w:tc>
          <w:tcPr>
            <w:tcW w:type="dxa" w:w="4649"/>
          </w:tcPr>
          <w:p>
            <w:r>
              <w:rPr>
                <w:b w:val="0"/>
                <w:color w:val="C00000"/>
              </w:rPr>
              <w:t>(a) Verb form (structure): “have became” → “have become” — “have” must be followed by the past participle, so as written the sentence has no correct verb at all.</w:t>
            </w:r>
          </w:p>
          <w:p>
            <w:r>
              <w:rPr>
                <w:b w:val="0"/>
                <w:color w:val="C00000"/>
              </w:rPr>
              <w:t>(b) Part of speech: “an indispensably part” → “an indispensable part” — the adjective, not the adverb, modifies the noun “part”. (Lesson 1, Pattern 1)</w:t>
            </w:r>
          </w:p>
        </w:tc>
      </w:tr>
      <w:tr>
        <w:tc>
          <w:tcPr>
            <w:tcW w:type="dxa" w:w="567"/>
          </w:tcPr>
          <w:p>
            <w:r>
              <w:rPr>
                <w:b/>
                <w:color w:val="C00000"/>
              </w:rPr>
              <w:t>2</w:t>
            </w:r>
          </w:p>
        </w:tc>
        <w:tc>
          <w:tcPr>
            <w:tcW w:type="dxa" w:w="4422"/>
          </w:tcPr>
          <w:p>
            <w:r>
              <w:rPr>
                <w:b w:val="0"/>
                <w:color w:val="C00000"/>
              </w:rPr>
              <w:t>Living in a fast-paced society, commuters are constantly exposed to noise pollution.</w:t>
            </w:r>
          </w:p>
        </w:tc>
        <w:tc>
          <w:tcPr>
            <w:tcW w:type="dxa" w:w="4649"/>
          </w:tcPr>
          <w:p>
            <w:r>
              <w:rPr>
                <w:b w:val="0"/>
                <w:color w:val="C00000"/>
              </w:rPr>
              <w:t>(a) Agreement: “commuters is” → “commuters are” (plural subject).</w:t>
            </w:r>
          </w:p>
          <w:p>
            <w:r>
              <w:rPr>
                <w:b w:val="0"/>
                <w:color w:val="C00000"/>
              </w:rPr>
              <w:t>(b) Plural: “noise pollutions” → “noise pollution” (“pollution” is uncountable). (Lesson 1, Pattern 2)</w:t>
            </w:r>
          </w:p>
        </w:tc>
      </w:tr>
      <w:tr>
        <w:tc>
          <w:tcPr>
            <w:tcW w:type="dxa" w:w="567"/>
          </w:tcPr>
          <w:p>
            <w:r>
              <w:rPr>
                <w:b/>
                <w:color w:val="C00000"/>
              </w:rPr>
              <w:t>3</w:t>
            </w:r>
          </w:p>
        </w:tc>
        <w:tc>
          <w:tcPr>
            <w:tcW w:type="dxa" w:w="4422"/>
          </w:tcPr>
          <w:p>
            <w:r>
              <w:rPr>
                <w:b w:val="0"/>
                <w:color w:val="C00000"/>
              </w:rPr>
              <w:t>In recent times, the issue of the ageing population has sparked widespread concern across society.</w:t>
            </w:r>
          </w:p>
        </w:tc>
        <w:tc>
          <w:tcPr>
            <w:tcW w:type="dxa" w:w="4649"/>
          </w:tcPr>
          <w:p>
            <w:r>
              <w:rPr>
                <w:b w:val="0"/>
                <w:color w:val="C00000"/>
              </w:rPr>
              <w:t>(a) Verb form (structure): “has spark” → “has sparked” — the base form after “has” leaves the clause without a proper verb.</w:t>
            </w:r>
          </w:p>
          <w:p>
            <w:r>
              <w:rPr>
                <w:b w:val="0"/>
                <w:color w:val="C00000"/>
              </w:rPr>
              <w:t>(b) Article: “across the society” → “across society” (no article when “society” is used in the general sense). (Lesson 1, Pattern 3)</w:t>
            </w:r>
          </w:p>
        </w:tc>
      </w:tr>
      <w:tr>
        <w:tc>
          <w:tcPr>
            <w:tcW w:type="dxa" w:w="567"/>
          </w:tcPr>
          <w:p>
            <w:r>
              <w:rPr>
                <w:b/>
                <w:color w:val="C00000"/>
              </w:rPr>
              <w:t>4</w:t>
            </w:r>
          </w:p>
        </w:tc>
        <w:tc>
          <w:tcPr>
            <w:tcW w:type="dxa" w:w="4422"/>
          </w:tcPr>
          <w:p>
            <w:r>
              <w:rPr>
                <w:b w:val="0"/>
                <w:color w:val="C00000"/>
              </w:rPr>
              <w:t>It is undeniable that early childhood education plays a pivotal role in shaping children’s characters.</w:t>
            </w:r>
          </w:p>
        </w:tc>
        <w:tc>
          <w:tcPr>
            <w:tcW w:type="dxa" w:w="4649"/>
          </w:tcPr>
          <w:p>
            <w:r>
              <w:rPr>
                <w:b w:val="0"/>
                <w:color w:val="C00000"/>
              </w:rPr>
              <w:t>(a) Agreement: “education play” → “education plays”.</w:t>
            </w:r>
          </w:p>
          <w:p>
            <w:r>
              <w:rPr>
                <w:b w:val="0"/>
                <w:color w:val="C00000"/>
              </w:rPr>
              <w:t>(b) Verb form (structure): “in shape” → “in shaping” — after the preposition “in” a gerund is needed; “in shape” reads as a noun phrase and breaks the pattern. (Lesson 1, Pattern 4)</w:t>
            </w:r>
          </w:p>
        </w:tc>
      </w:tr>
      <w:tr>
        <w:tc>
          <w:tcPr>
            <w:tcW w:type="dxa" w:w="567"/>
          </w:tcPr>
          <w:p>
            <w:r>
              <w:rPr>
                <w:b/>
                <w:color w:val="C00000"/>
              </w:rPr>
              <w:t>5</w:t>
            </w:r>
          </w:p>
        </w:tc>
        <w:tc>
          <w:tcPr>
            <w:tcW w:type="dxa" w:w="4422"/>
          </w:tcPr>
          <w:p>
            <w:r>
              <w:rPr>
                <w:b w:val="0"/>
                <w:color w:val="C00000"/>
              </w:rPr>
              <w:t>To begin with, cultural exchange programmes offer students a golden opportunity to broaden their horizons, paving the way for a global career.</w:t>
            </w:r>
          </w:p>
        </w:tc>
        <w:tc>
          <w:tcPr>
            <w:tcW w:type="dxa" w:w="4649"/>
          </w:tcPr>
          <w:p>
            <w:r>
              <w:rPr>
                <w:b w:val="0"/>
                <w:color w:val="C00000"/>
              </w:rPr>
              <w:t>(a) Agreement: “programmes offers” → “programmes offer”.</w:t>
            </w:r>
          </w:p>
          <w:p>
            <w:r>
              <w:rPr>
                <w:b w:val="0"/>
                <w:color w:val="C00000"/>
              </w:rPr>
              <w:t>(b) Plural: “their horizon” → “their horizons” (more than one student). (Lesson 2, Pattern 1)</w:t>
            </w:r>
          </w:p>
        </w:tc>
      </w:tr>
      <w:tr>
        <w:tc>
          <w:tcPr>
            <w:tcW w:type="dxa" w:w="567"/>
          </w:tcPr>
          <w:p>
            <w:r>
              <w:rPr>
                <w:b/>
                <w:color w:val="C00000"/>
              </w:rPr>
              <w:t>6</w:t>
            </w:r>
          </w:p>
        </w:tc>
        <w:tc>
          <w:tcPr>
            <w:tcW w:type="dxa" w:w="4422"/>
          </w:tcPr>
          <w:p>
            <w:r>
              <w:rPr>
                <w:b w:val="0"/>
                <w:color w:val="C00000"/>
              </w:rPr>
              <w:t>To begin with, joining the school choir offers teenagers a golden opportunity to make new friends, paving the way for a more confident attitude to school life.</w:t>
            </w:r>
          </w:p>
        </w:tc>
        <w:tc>
          <w:tcPr>
            <w:tcW w:type="dxa" w:w="4649"/>
          </w:tcPr>
          <w:p>
            <w:r>
              <w:rPr>
                <w:b w:val="0"/>
                <w:color w:val="C00000"/>
              </w:rPr>
              <w:t>(a) Verb form (structure): “paved” → “paving” — the comment after the comma is a participle phrase; “paved” has no subject and reads as a second main verb, which breaks the sentence.</w:t>
            </w:r>
          </w:p>
          <w:p>
            <w:r>
              <w:rPr>
                <w:b w:val="0"/>
                <w:color w:val="C00000"/>
              </w:rPr>
              <w:t>(b) Part of speech: “confidently attitude” → “confident attitude” — an adverb cannot modify a noun. (Lesson 2, Pattern 1)</w:t>
            </w:r>
          </w:p>
        </w:tc>
      </w:tr>
      <w:tr>
        <w:tc>
          <w:tcPr>
            <w:tcW w:type="dxa" w:w="567"/>
          </w:tcPr>
          <w:p>
            <w:r>
              <w:rPr>
                <w:b/>
                <w:color w:val="C00000"/>
              </w:rPr>
              <w:t>7</w:t>
            </w:r>
          </w:p>
        </w:tc>
        <w:tc>
          <w:tcPr>
            <w:tcW w:type="dxa" w:w="4422"/>
          </w:tcPr>
          <w:p>
            <w:r>
              <w:rPr>
                <w:b w:val="0"/>
                <w:color w:val="C00000"/>
              </w:rPr>
              <w:t>From the perspective of parents, school counselling services allow them to understand their children better, which in turn strengthens family relationships.</w:t>
            </w:r>
          </w:p>
        </w:tc>
        <w:tc>
          <w:tcPr>
            <w:tcW w:type="dxa" w:w="4649"/>
          </w:tcPr>
          <w:p>
            <w:r>
              <w:rPr>
                <w:b w:val="0"/>
                <w:color w:val="C00000"/>
              </w:rPr>
              <w:t>(a) Agreement: “services allows” → “services allow”.</w:t>
            </w:r>
          </w:p>
          <w:p>
            <w:r>
              <w:rPr>
                <w:b w:val="0"/>
                <w:color w:val="C00000"/>
              </w:rPr>
              <w:t>(b) Verb form (structure): “strengthen” → “strengthens” — the “which in turn” clause needs a finite verb. (Lesson 2, Pattern 2)</w:t>
            </w:r>
          </w:p>
        </w:tc>
      </w:tr>
      <w:tr>
        <w:tc>
          <w:tcPr>
            <w:tcW w:type="dxa" w:w="567"/>
          </w:tcPr>
          <w:p>
            <w:r>
              <w:rPr>
                <w:b/>
                <w:color w:val="C00000"/>
              </w:rPr>
              <w:t>8</w:t>
            </w:r>
          </w:p>
        </w:tc>
        <w:tc>
          <w:tcPr>
            <w:tcW w:type="dxa" w:w="4422"/>
          </w:tcPr>
          <w:p>
            <w:r>
              <w:rPr>
                <w:b w:val="0"/>
                <w:color w:val="C00000"/>
              </w:rPr>
              <w:t>School libraries serve as a powerful means of encouraging students to read, which enables them to become lifelong learners.</w:t>
            </w:r>
          </w:p>
        </w:tc>
        <w:tc>
          <w:tcPr>
            <w:tcW w:type="dxa" w:w="4649"/>
          </w:tcPr>
          <w:p>
            <w:r>
              <w:rPr>
                <w:b w:val="0"/>
                <w:color w:val="C00000"/>
              </w:rPr>
              <w:t>(a) Agreement: “libraries serves” → “libraries serve”.</w:t>
            </w:r>
          </w:p>
          <w:p>
            <w:r>
              <w:rPr>
                <w:b w:val="0"/>
                <w:color w:val="C00000"/>
              </w:rPr>
              <w:t>(b) Verb form (structure): “of encourage” → “of encouraging” — after the preposition “of” the gerund is required. (Lesson 2, Pattern 3)</w:t>
            </w:r>
          </w:p>
        </w:tc>
      </w:tr>
      <w:tr>
        <w:tc>
          <w:tcPr>
            <w:tcW w:type="dxa" w:w="567"/>
          </w:tcPr>
          <w:p>
            <w:r>
              <w:rPr>
                <w:b/>
                <w:color w:val="C00000"/>
              </w:rPr>
              <w:t>9</w:t>
            </w:r>
          </w:p>
        </w:tc>
        <w:tc>
          <w:tcPr>
            <w:tcW w:type="dxa" w:w="4422"/>
          </w:tcPr>
          <w:p>
            <w:r>
              <w:rPr>
                <w:b w:val="0"/>
                <w:color w:val="C00000"/>
              </w:rPr>
              <w:t>Admittedly, e-books are more convenient. Nevertheless, printed books remain irreplaceable, as reading on paper helps readers to concentrate better.</w:t>
            </w:r>
          </w:p>
        </w:tc>
        <w:tc>
          <w:tcPr>
            <w:tcW w:type="dxa" w:w="4649"/>
          </w:tcPr>
          <w:p>
            <w:r>
              <w:rPr>
                <w:b w:val="0"/>
                <w:color w:val="C00000"/>
              </w:rPr>
              <w:t>(a) Punctuation / sentence boundary (structure): the comma before “nevertheless” becomes a full stop and “Nevertheless” takes a capital letter — two sentences cannot be joined by a comma alone.</w:t>
            </w:r>
          </w:p>
          <w:p>
            <w:r>
              <w:rPr>
                <w:b w:val="0"/>
                <w:color w:val="C00000"/>
              </w:rPr>
              <w:t>(b) Agreement: “reading … help” → “helps” (the subject is the singular gerund “reading”). (Lesson 2, Pattern 4)</w:t>
            </w:r>
          </w:p>
        </w:tc>
      </w:tr>
      <w:tr>
        <w:tc>
          <w:tcPr>
            <w:tcW w:type="dxa" w:w="567"/>
          </w:tcPr>
          <w:p>
            <w:r>
              <w:rPr>
                <w:b/>
                <w:color w:val="C00000"/>
              </w:rPr>
              <w:t>10</w:t>
            </w:r>
          </w:p>
        </w:tc>
        <w:tc>
          <w:tcPr>
            <w:tcW w:type="dxa" w:w="4422"/>
          </w:tcPr>
          <w:p>
            <w:r>
              <w:rPr>
                <w:b w:val="0"/>
                <w:color w:val="C00000"/>
              </w:rPr>
              <w:t>It is undeniable that a balanced diet plays a pivotal role in maintaining students’ health.</w:t>
            </w:r>
          </w:p>
        </w:tc>
        <w:tc>
          <w:tcPr>
            <w:tcW w:type="dxa" w:w="4649"/>
          </w:tcPr>
          <w:p>
            <w:r>
              <w:rPr>
                <w:b w:val="0"/>
                <w:color w:val="C00000"/>
              </w:rPr>
              <w:t>(a) Agreement: “diet play” → “diet plays”.</w:t>
            </w:r>
          </w:p>
          <w:p>
            <w:r>
              <w:rPr>
                <w:b w:val="0"/>
                <w:color w:val="C00000"/>
              </w:rPr>
              <w:t>(b) Part of speech: “a pivot role” → “a pivotal role” — the adjective “pivotal” is fixed in this pattern. (Lesson 1, Pattern 4)</w:t>
            </w:r>
          </w:p>
        </w:tc>
      </w:tr>
    </w:tbl>
    <w:p>
      <w:pPr>
        <w:spacing w:after="0"/>
      </w:pPr>
    </w:p>
    <w:p>
      <w:pPr>
        <w:spacing w:before="160" w:after="120"/>
      </w:pPr>
      <w:r>
        <w:rPr>
          <w:b/>
        </w:rPr>
        <w:t>PART B: UPGRADING SENTENCES — MAKING SUGGESTIONS</w:t>
      </w:r>
    </w:p>
    <w:p>
      <w:r>
        <w:rPr>
          <w:b w:val="0"/>
        </w:rPr>
        <w:t>In the paragraph that suggests solutions, most students write “Schools can …”, “The government can …” and “Parents can …”. These sentences are correct, but they are plain: they show the marker what you think, not how well you can write. Part B gives you THREE patterns that upgrade exactly these sentences. Each one is only ONE clause, easy to remember, and each one carries one “wow” feature that impresses the marker.</w:t>
      </w:r>
    </w:p>
    <w:p>
      <w:pPr>
        <w:spacing w:after="200"/>
      </w:pPr>
      <w:r>
        <w:rPr>
          <w:b/>
        </w:rPr>
        <w:t xml:space="preserve">Topic for this part: </w:t>
      </w:r>
      <w:r>
        <w:rPr>
          <w:b w:val="0"/>
        </w:rPr>
        <w:t>boost the physical fitness and awareness of citizens</w:t>
      </w:r>
    </w:p>
    <w:tbl>
      <w:tblPr>
        <w:tblStyle w:val="TableGrid"/>
        <w:tblW w:type="auto" w:w="0"/>
        <w:jc w:val="left"/>
        <w:tblLayout w:type="fixed"/>
        <w:tblLook w:firstColumn="1" w:firstRow="1" w:lastColumn="0" w:lastRow="0" w:noHBand="0" w:noVBand="1" w:val="04A0"/>
        <w:tblLayout w:type="fixed"/>
      </w:tblPr>
      <w:tblGrid>
        <w:gridCol w:w="9638"/>
      </w:tblGrid>
      <w:tr>
        <w:tc>
          <w:tcPr>
            <w:tcW w:type="dxa" w:w="9638"/>
            <w:shd w:val="clear" w:color="auto" w:fill="D9D9D9"/>
          </w:tcPr>
          <w:p>
            <w:r>
              <w:rPr>
                <w:b/>
              </w:rPr>
              <w:t>LEVEL 3 — THE BASIC SENTENCES STUDENTS USUALLY WRITE</w:t>
            </w:r>
          </w:p>
          <w:p>
            <w:r>
              <w:rPr>
                <w:b w:val="0"/>
              </w:rPr>
              <w:t>The government can build more sports facilities.</w:t>
            </w:r>
          </w:p>
          <w:p>
            <w:r>
              <w:rPr>
                <w:b w:val="0"/>
              </w:rPr>
              <w:t>Schools can organise more sports activities and sports days.</w:t>
            </w:r>
          </w:p>
          <w:p>
            <w:r>
              <w:rPr>
                <w:b w:val="0"/>
              </w:rPr>
              <w:t>Parents can exercise with their children at weekends.</w:t>
            </w:r>
          </w:p>
        </w:tc>
      </w:tr>
    </w:tbl>
    <w:p>
      <w:pPr>
        <w:spacing w:after="0"/>
      </w:pPr>
    </w:p>
    <w:tbl>
      <w:tblPr>
        <w:tblStyle w:val="TableGrid"/>
        <w:tblW w:type="auto" w:w="0"/>
        <w:jc w:val="left"/>
        <w:tblLayout w:type="fixed"/>
        <w:tblLook w:firstColumn="1" w:firstRow="1" w:lastColumn="0" w:lastRow="0" w:noHBand="0" w:noVBand="1" w:val="04A0"/>
        <w:tblLayout w:type="fixed"/>
      </w:tblPr>
      <w:tblGrid>
        <w:gridCol w:w="9638"/>
      </w:tblGrid>
      <w:tr>
        <w:tc>
          <w:tcPr>
            <w:tcW w:type="dxa" w:w="9638"/>
          </w:tcPr>
          <w:p>
            <w:r>
              <w:rPr>
                <w:b/>
              </w:rPr>
              <w:t>Pattern 1 — Calling for Immediate Action</w:t>
            </w:r>
          </w:p>
          <w:p>
            <w:r>
              <w:rPr>
                <w:b/>
              </w:rPr>
              <w:t xml:space="preserve">Target Formula: </w:t>
            </w:r>
            <w:r>
              <w:rPr>
                <w:b w:val="0"/>
              </w:rPr>
              <w:t>It is high time that [doer] [PAST-TENSE verb phrase].</w:t>
            </w:r>
          </w:p>
        </w:tc>
      </w:tr>
    </w:tbl>
    <w:p>
      <w:pPr>
        <w:spacing w:after="0"/>
      </w:pP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Level 3:</w:t>
            </w:r>
          </w:p>
        </w:tc>
        <w:tc>
          <w:tcPr>
            <w:tcW w:type="dxa" w:w="8090"/>
          </w:tcPr>
          <w:p>
            <w:r>
              <w:rPr>
                <w:b w:val="0"/>
              </w:rPr>
              <w:t>The government can build more sports facilities.</w:t>
            </w:r>
          </w:p>
        </w:tc>
      </w:tr>
      <w:tr>
        <w:tc>
          <w:tcPr>
            <w:tcW w:type="dxa" w:w="1548"/>
          </w:tcPr>
          <w:p>
            <w:r>
              <w:rPr>
                <w:b/>
              </w:rPr>
              <w:t>Level 5:</w:t>
            </w:r>
          </w:p>
        </w:tc>
        <w:tc>
          <w:tcPr>
            <w:tcW w:type="dxa" w:w="8090"/>
          </w:tcPr>
          <w:p>
            <w:r>
              <w:rPr>
                <w:b/>
              </w:rPr>
              <w:t>It is high time that</w:t>
            </w:r>
            <w:r>
              <w:rPr>
                <w:b w:val="0"/>
              </w:rPr>
              <w:t xml:space="preserve"> the government </w:t>
            </w:r>
            <w:r>
              <w:rPr>
                <w:b/>
              </w:rPr>
              <w:t>invested</w:t>
            </w:r>
            <w:r>
              <w:rPr>
                <w:b w:val="0"/>
              </w:rPr>
              <w:t xml:space="preserve"> in free, accessible sports facilities in every district.</w:t>
            </w:r>
          </w:p>
        </w:tc>
      </w:tr>
    </w:tbl>
    <w:p>
      <w:r>
        <w:rPr>
          <w:b/>
          <w:color w:val="C00000"/>
        </w:rPr>
        <w:t xml:space="preserve">Teaching note: </w:t>
      </w:r>
      <w:r>
        <w:rPr>
          <w:b w:val="0"/>
          <w:color w:val="C00000"/>
        </w:rPr>
        <w:t>“It is high time that” is followed by the PAST tense — invested / launched / reviewed — never the present tense (“invests”). If students panic, the easy alternative is “It is high time for the government TO invest …”.</w:t>
      </w:r>
    </w:p>
    <w:p>
      <w:pPr>
        <w:spacing w:after="0"/>
      </w:pPr>
    </w:p>
    <w:tbl>
      <w:tblPr>
        <w:tblStyle w:val="TableGrid"/>
        <w:tblW w:type="auto" w:w="0"/>
        <w:jc w:val="left"/>
        <w:tblLayout w:type="fixed"/>
        <w:tblLook w:firstColumn="1" w:firstRow="1" w:lastColumn="0" w:lastRow="0" w:noHBand="0" w:noVBand="1" w:val="04A0"/>
        <w:tblLayout w:type="fixed"/>
      </w:tblPr>
      <w:tblGrid>
        <w:gridCol w:w="9638"/>
      </w:tblGrid>
      <w:tr>
        <w:tc>
          <w:tcPr>
            <w:tcW w:type="dxa" w:w="9638"/>
          </w:tcPr>
          <w:p>
            <w:r>
              <w:rPr>
                <w:b/>
              </w:rPr>
              <w:t>Pattern 2 — Purpose-First Recommendation</w:t>
            </w:r>
          </w:p>
          <w:p>
            <w:r>
              <w:rPr>
                <w:b/>
              </w:rPr>
              <w:t xml:space="preserve">Target Formula: </w:t>
            </w:r>
            <w:r>
              <w:rPr>
                <w:b w:val="0"/>
              </w:rPr>
              <w:t>To [goal], [doer] should make it a priority to [base verb phrase].</w:t>
            </w:r>
          </w:p>
        </w:tc>
      </w:tr>
    </w:tbl>
    <w:p>
      <w:pPr>
        <w:spacing w:after="0"/>
      </w:pP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Level 3:</w:t>
            </w:r>
          </w:p>
        </w:tc>
        <w:tc>
          <w:tcPr>
            <w:tcW w:type="dxa" w:w="8090"/>
          </w:tcPr>
          <w:p>
            <w:r>
              <w:rPr>
                <w:b w:val="0"/>
              </w:rPr>
              <w:t>Schools can organise more sports activities and sports days.</w:t>
            </w:r>
          </w:p>
        </w:tc>
      </w:tr>
      <w:tr>
        <w:tc>
          <w:tcPr>
            <w:tcW w:type="dxa" w:w="1548"/>
          </w:tcPr>
          <w:p>
            <w:r>
              <w:rPr>
                <w:b/>
              </w:rPr>
              <w:t>Level 5:</w:t>
            </w:r>
          </w:p>
        </w:tc>
        <w:tc>
          <w:tcPr>
            <w:tcW w:type="dxa" w:w="8090"/>
          </w:tcPr>
          <w:p>
            <w:r>
              <w:rPr>
                <w:b/>
              </w:rPr>
              <w:t>To boost students’ physical fitness</w:t>
            </w:r>
            <w:r>
              <w:rPr>
                <w:b w:val="0"/>
              </w:rPr>
              <w:t xml:space="preserve">, schools should </w:t>
            </w:r>
            <w:r>
              <w:rPr>
                <w:b/>
              </w:rPr>
              <w:t>make it a priority to</w:t>
            </w:r>
            <w:r>
              <w:rPr>
                <w:b w:val="0"/>
              </w:rPr>
              <w:t xml:space="preserve"> add a daily exercise break to the timetable.</w:t>
            </w:r>
          </w:p>
        </w:tc>
      </w:tr>
    </w:tbl>
    <w:p>
      <w:r>
        <w:rPr>
          <w:b/>
          <w:color w:val="C00000"/>
        </w:rPr>
        <w:t xml:space="preserve">Teaching note: </w:t>
      </w:r>
      <w:r>
        <w:rPr>
          <w:b w:val="0"/>
          <w:color w:val="C00000"/>
        </w:rPr>
        <w:t>“make it a priority to” takes the BASE verb (“to add”, never “to adding”). Opening with “To + goal” replaces the vague “so that” and shows the marker your purpose in the first three words.</w:t>
      </w:r>
    </w:p>
    <w:p>
      <w:pPr>
        <w:spacing w:after="0"/>
      </w:pPr>
    </w:p>
    <w:tbl>
      <w:tblPr>
        <w:tblStyle w:val="TableGrid"/>
        <w:tblW w:type="auto" w:w="0"/>
        <w:jc w:val="left"/>
        <w:tblLayout w:type="fixed"/>
        <w:tblLook w:firstColumn="1" w:firstRow="1" w:lastColumn="0" w:lastRow="0" w:noHBand="0" w:noVBand="1" w:val="04A0"/>
        <w:tblLayout w:type="fixed"/>
      </w:tblPr>
      <w:tblGrid>
        <w:gridCol w:w="9638"/>
      </w:tblGrid>
      <w:tr>
        <w:tc>
          <w:tcPr>
            <w:tcW w:type="dxa" w:w="9638"/>
          </w:tcPr>
          <w:p>
            <w:r>
              <w:rPr>
                <w:b/>
              </w:rPr>
              <w:t>Pattern 3 — Shared Responsibility</w:t>
            </w:r>
          </w:p>
          <w:p>
            <w:r>
              <w:rPr>
                <w:b/>
              </w:rPr>
              <w:t xml:space="preserve">Target Formula: </w:t>
            </w:r>
            <w:r>
              <w:rPr>
                <w:b w:val="0"/>
              </w:rPr>
              <w:t>[Doer], in collaboration with [second party], should [verb phrase].</w:t>
            </w:r>
          </w:p>
        </w:tc>
      </w:tr>
    </w:tbl>
    <w:p>
      <w:pPr>
        <w:spacing w:after="0"/>
      </w:pP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Level 3:</w:t>
            </w:r>
          </w:p>
        </w:tc>
        <w:tc>
          <w:tcPr>
            <w:tcW w:type="dxa" w:w="8090"/>
          </w:tcPr>
          <w:p>
            <w:r>
              <w:rPr>
                <w:b w:val="0"/>
              </w:rPr>
              <w:t>Parents can exercise with their children at weekends.</w:t>
            </w:r>
          </w:p>
        </w:tc>
      </w:tr>
      <w:tr>
        <w:tc>
          <w:tcPr>
            <w:tcW w:type="dxa" w:w="1548"/>
          </w:tcPr>
          <w:p>
            <w:r>
              <w:rPr>
                <w:b/>
              </w:rPr>
              <w:t>Level 5:</w:t>
            </w:r>
          </w:p>
        </w:tc>
        <w:tc>
          <w:tcPr>
            <w:tcW w:type="dxa" w:w="8090"/>
          </w:tcPr>
          <w:p>
            <w:r>
              <w:rPr>
                <w:b/>
              </w:rPr>
              <w:t>Parents, in collaboration with schools,</w:t>
            </w:r>
            <w:r>
              <w:rPr>
                <w:b w:val="0"/>
              </w:rPr>
              <w:t xml:space="preserve"> should encourage their children to adopt a more active lifestyle.</w:t>
            </w:r>
          </w:p>
        </w:tc>
      </w:tr>
    </w:tbl>
    <w:p>
      <w:r>
        <w:rPr>
          <w:b/>
          <w:color w:val="C00000"/>
        </w:rPr>
        <w:t xml:space="preserve">Teaching note: </w:t>
      </w:r>
      <w:r>
        <w:rPr>
          <w:b w:val="0"/>
          <w:color w:val="C00000"/>
        </w:rPr>
        <w:t>“in collaboration with” = working together with. It is far stronger than “and” or “also” and shows the marker that you understand shared responsibility. The doer is swappable: “The government, in collaboration with district councils, should …”.</w:t>
      </w:r>
    </w:p>
    <w:p>
      <w:r>
        <w:rPr>
          <w:b/>
          <w:color w:val="C00000"/>
        </w:rPr>
        <w:t xml:space="preserve">Teacher’s note on the design: </w:t>
      </w:r>
      <w:r>
        <w:rPr>
          <w:b w:val="0"/>
          <w:color w:val="C00000"/>
        </w:rPr>
        <w:t>the three patterns are deliberately kept to ONE clause. Endings of the “, so as to …” / “, thereby + –ing” type were left out this time — level 3 students lose control of the main clause as soon as they open a second one. Add the endings back only when the class can hold the short form.</w:t>
      </w:r>
    </w:p>
    <w:p>
      <w:pPr>
        <w:spacing w:after="0"/>
      </w:pPr>
    </w:p>
    <w:p>
      <w:pPr>
        <w:spacing w:before="160" w:after="120"/>
      </w:pPr>
      <w:r>
        <w:rPr>
          <w:b/>
        </w:rPr>
        <w:t>LEVEL 3 → LEVEL 5 VOCABULARY (physical fitness and awareness)</w:t>
      </w:r>
    </w:p>
    <w:tbl>
      <w:tblPr>
        <w:tblStyle w:val="TableGrid"/>
        <w:tblW w:type="auto" w:w="0"/>
        <w:jc w:val="left"/>
        <w:tblLayout w:type="fixed"/>
        <w:tblLook w:firstColumn="1" w:firstRow="1" w:lastColumn="0" w:lastRow="0" w:noHBand="0" w:noVBand="1" w:val="04A0"/>
        <w:tblLayout w:type="fixed"/>
      </w:tblPr>
      <w:tblGrid>
        <w:gridCol w:w="3213"/>
        <w:gridCol w:w="3213"/>
        <w:gridCol w:w="3213"/>
      </w:tblGrid>
      <w:tr>
        <w:tc>
          <w:tcPr>
            <w:tcW w:type="dxa" w:w="454"/>
            <w:shd w:val="clear" w:color="auto" w:fill="D9D9D9"/>
          </w:tcPr>
          <w:p>
            <w:r>
              <w:rPr>
                <w:b/>
              </w:rPr>
              <w:t>#</w:t>
            </w:r>
          </w:p>
        </w:tc>
        <w:tc>
          <w:tcPr>
            <w:tcW w:type="dxa" w:w="3402"/>
            <w:shd w:val="clear" w:color="auto" w:fill="D9D9D9"/>
          </w:tcPr>
          <w:p>
            <w:r>
              <w:rPr>
                <w:b/>
              </w:rPr>
              <w:t>Level 3 (what students write)</w:t>
            </w:r>
          </w:p>
        </w:tc>
        <w:tc>
          <w:tcPr>
            <w:tcW w:type="dxa" w:w="5783"/>
            <w:shd w:val="clear" w:color="auto" w:fill="D9D9D9"/>
          </w:tcPr>
          <w:p>
            <w:r>
              <w:rPr>
                <w:b/>
              </w:rPr>
              <w:t>Level 5 upgrade (key words in bold)</w:t>
            </w:r>
          </w:p>
        </w:tc>
      </w:tr>
      <w:tr>
        <w:tc>
          <w:tcPr>
            <w:tcW w:type="dxa" w:w="454"/>
          </w:tcPr>
          <w:p>
            <w:r>
              <w:rPr>
                <w:b/>
              </w:rPr>
              <w:t>1</w:t>
            </w:r>
          </w:p>
        </w:tc>
        <w:tc>
          <w:tcPr>
            <w:tcW w:type="dxa" w:w="3402"/>
          </w:tcPr>
          <w:p>
            <w:r>
              <w:rPr>
                <w:b w:val="0"/>
              </w:rPr>
              <w:t>make people healthier</w:t>
            </w:r>
          </w:p>
        </w:tc>
        <w:tc>
          <w:tcPr>
            <w:tcW w:type="dxa" w:w="5783"/>
          </w:tcPr>
          <w:p>
            <w:r>
              <w:rPr>
                <w:b/>
              </w:rPr>
              <w:t>enhance citizens’ physical well-being</w:t>
            </w:r>
          </w:p>
          <w:p>
            <w:r>
              <w:rPr>
                <w:i/>
              </w:rPr>
              <w:t>e.g. Regular exercise enhances citizens’ physical well-being.</w:t>
            </w:r>
          </w:p>
        </w:tc>
      </w:tr>
      <w:tr>
        <w:tc>
          <w:tcPr>
            <w:tcW w:type="dxa" w:w="454"/>
          </w:tcPr>
          <w:p>
            <w:r>
              <w:rPr>
                <w:b/>
              </w:rPr>
              <w:t>2</w:t>
            </w:r>
          </w:p>
        </w:tc>
        <w:tc>
          <w:tcPr>
            <w:tcW w:type="dxa" w:w="3402"/>
          </w:tcPr>
          <w:p>
            <w:r>
              <w:rPr>
                <w:b w:val="0"/>
              </w:rPr>
              <w:t>tell people about the importance of exercise</w:t>
            </w:r>
          </w:p>
        </w:tc>
        <w:tc>
          <w:tcPr>
            <w:tcW w:type="dxa" w:w="5783"/>
          </w:tcPr>
          <w:p>
            <w:r>
              <w:rPr>
                <w:b/>
              </w:rPr>
              <w:t>raise public awareness of the importance of regular exercise</w:t>
            </w:r>
          </w:p>
          <w:p>
            <w:r>
              <w:rPr>
                <w:i/>
              </w:rPr>
              <w:t>e.g. A city-wide campaign would raise public awareness of the importance of regular exercise.</w:t>
            </w:r>
          </w:p>
        </w:tc>
      </w:tr>
      <w:tr>
        <w:tc>
          <w:tcPr>
            <w:tcW w:type="dxa" w:w="454"/>
          </w:tcPr>
          <w:p>
            <w:r>
              <w:rPr>
                <w:b/>
              </w:rPr>
              <w:t>3</w:t>
            </w:r>
          </w:p>
        </w:tc>
        <w:tc>
          <w:tcPr>
            <w:tcW w:type="dxa" w:w="3402"/>
          </w:tcPr>
          <w:p>
            <w:r>
              <w:rPr>
                <w:b w:val="0"/>
              </w:rPr>
              <w:t>do exercise</w:t>
            </w:r>
          </w:p>
        </w:tc>
        <w:tc>
          <w:tcPr>
            <w:tcW w:type="dxa" w:w="5783"/>
          </w:tcPr>
          <w:p>
            <w:r>
              <w:rPr>
                <w:b/>
              </w:rPr>
              <w:t>take regular exercise / adopt an active lifestyle</w:t>
            </w:r>
          </w:p>
          <w:p>
            <w:r>
              <w:rPr>
                <w:i/>
              </w:rPr>
              <w:t>e.g. Citizens who take regular exercise are far less likely to fall ill.</w:t>
            </w:r>
          </w:p>
        </w:tc>
      </w:tr>
      <w:tr>
        <w:tc>
          <w:tcPr>
            <w:tcW w:type="dxa" w:w="454"/>
          </w:tcPr>
          <w:p>
            <w:r>
              <w:rPr>
                <w:b/>
              </w:rPr>
              <w:t>4</w:t>
            </w:r>
          </w:p>
        </w:tc>
        <w:tc>
          <w:tcPr>
            <w:tcW w:type="dxa" w:w="3402"/>
          </w:tcPr>
          <w:p>
            <w:r>
              <w:rPr>
                <w:b w:val="0"/>
              </w:rPr>
              <w:t>build more sports places</w:t>
            </w:r>
          </w:p>
        </w:tc>
        <w:tc>
          <w:tcPr>
            <w:tcW w:type="dxa" w:w="5783"/>
          </w:tcPr>
          <w:p>
            <w:r>
              <w:rPr>
                <w:b/>
              </w:rPr>
              <w:t>provide accessible sports facilities</w:t>
            </w:r>
          </w:p>
          <w:p>
            <w:r>
              <w:rPr>
                <w:i/>
              </w:rPr>
              <w:t>e.g. Accessible sports facilities encourage even the busiest workers to exercise.</w:t>
            </w:r>
          </w:p>
        </w:tc>
      </w:tr>
      <w:tr>
        <w:tc>
          <w:tcPr>
            <w:tcW w:type="dxa" w:w="454"/>
          </w:tcPr>
          <w:p>
            <w:r>
              <w:rPr>
                <w:b/>
              </w:rPr>
              <w:t>5</w:t>
            </w:r>
          </w:p>
        </w:tc>
        <w:tc>
          <w:tcPr>
            <w:tcW w:type="dxa" w:w="3402"/>
          </w:tcPr>
          <w:p>
            <w:r>
              <w:rPr>
                <w:b w:val="0"/>
              </w:rPr>
              <w:t>stop people from being lazy</w:t>
            </w:r>
          </w:p>
        </w:tc>
        <w:tc>
          <w:tcPr>
            <w:tcW w:type="dxa" w:w="5783"/>
          </w:tcPr>
          <w:p>
            <w:r>
              <w:rPr>
                <w:b/>
              </w:rPr>
              <w:t>combat sedentary lifestyles</w:t>
            </w:r>
          </w:p>
          <w:p>
            <w:r>
              <w:rPr>
                <w:i/>
              </w:rPr>
              <w:t>e.g. A morning workout scheme can combat sedentary lifestyles among office workers.</w:t>
            </w:r>
          </w:p>
        </w:tc>
      </w:tr>
    </w:tbl>
    <w:p>
      <w:pPr>
        <w:spacing w:after="0"/>
      </w:pPr>
    </w:p>
    <w:p>
      <w:pPr>
        <w:spacing w:before="160" w:after="120"/>
      </w:pPr>
      <w:r>
        <w:rPr>
          <w:b/>
        </w:rPr>
        <w:t>PART C: PRACTICE SETS (6 SETS)</w:t>
      </w:r>
    </w:p>
    <w:p>
      <w:r>
        <w:rPr>
          <w:b w:val="0"/>
        </w:rPr>
        <w:t>Upgrade each simple sentence with the pattern shown, and keep the pattern to ONE clause, as taught in Part B. The topics are different from the fitness topic in Part B. Sets 4–6 are more challenging: you must join the TWO simple sentences into ONE upgraded sentence.</w:t>
      </w:r>
    </w:p>
    <w:p>
      <w:pPr>
        <w:spacing w:before="120" w:after="80"/>
      </w:pPr>
      <w:r>
        <w:rPr>
          <w:b/>
        </w:rPr>
        <w:t>Set 1. Topic: Teenage Sleep Deprivation</w:t>
      </w: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Simple sentence</w:t>
            </w:r>
          </w:p>
        </w:tc>
        <w:tc>
          <w:tcPr>
            <w:tcW w:type="dxa" w:w="8090"/>
          </w:tcPr>
          <w:p>
            <w:r>
              <w:rPr>
                <w:b w:val="0"/>
              </w:rPr>
              <w:t>The government can tell teenagers about the importance of sleep.</w:t>
            </w:r>
          </w:p>
        </w:tc>
      </w:tr>
      <w:tr>
        <w:tc>
          <w:tcPr>
            <w:tcW w:type="dxa" w:w="1548"/>
          </w:tcPr>
          <w:p>
            <w:r>
              <w:rPr>
                <w:b/>
              </w:rPr>
              <w:t>Use Pattern 1</w:t>
            </w:r>
          </w:p>
        </w:tc>
        <w:tc>
          <w:tcPr>
            <w:tcW w:type="dxa" w:w="8090"/>
          </w:tcPr>
          <w:p>
            <w:r>
              <w:rPr>
                <w:b/>
                <w:color w:val="C00000"/>
              </w:rPr>
              <w:t>It is high time that the government raised teenagers’ awareness of the importance of sleep.</w:t>
            </w:r>
          </w:p>
        </w:tc>
      </w:tr>
    </w:tbl>
    <w:p>
      <w:pPr>
        <w:spacing w:after="160"/>
      </w:pPr>
      <w:r>
        <w:rPr>
          <w:b/>
          <w:color w:val="C00000"/>
        </w:rPr>
        <w:t xml:space="preserve">Key note: </w:t>
      </w:r>
      <w:r>
        <w:rPr>
          <w:b w:val="0"/>
          <w:color w:val="C00000"/>
        </w:rPr>
        <w:t>Accept any past-tense verb phrase: “launched a campaign on healthy sleeping habits”, “made sleep education part of the junior curriculum”.</w:t>
      </w:r>
    </w:p>
    <w:p>
      <w:pPr>
        <w:spacing w:before="120" w:after="80"/>
      </w:pPr>
      <w:r>
        <w:rPr>
          <w:b/>
        </w:rPr>
        <w:t>Set 2. Topic: Food Waste on Campus</w:t>
      </w: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Simple sentence</w:t>
            </w:r>
          </w:p>
        </w:tc>
        <w:tc>
          <w:tcPr>
            <w:tcW w:type="dxa" w:w="8090"/>
          </w:tcPr>
          <w:p>
            <w:r>
              <w:rPr>
                <w:b w:val="0"/>
              </w:rPr>
              <w:t>Schools can ask students not to waste food in the canteen.</w:t>
            </w:r>
          </w:p>
        </w:tc>
      </w:tr>
      <w:tr>
        <w:tc>
          <w:tcPr>
            <w:tcW w:type="dxa" w:w="1548"/>
          </w:tcPr>
          <w:p>
            <w:r>
              <w:rPr>
                <w:b/>
              </w:rPr>
              <w:t>Use Pattern 2</w:t>
            </w:r>
          </w:p>
        </w:tc>
        <w:tc>
          <w:tcPr>
            <w:tcW w:type="dxa" w:w="8090"/>
          </w:tcPr>
          <w:p>
            <w:r>
              <w:rPr>
                <w:b/>
                <w:color w:val="C00000"/>
              </w:rPr>
              <w:t>To cut food waste on campus, schools should make it a priority to offer smaller portions and free second helpings.</w:t>
            </w:r>
          </w:p>
        </w:tc>
      </w:tr>
    </w:tbl>
    <w:p>
      <w:pPr>
        <w:spacing w:after="160"/>
      </w:pPr>
      <w:r>
        <w:rPr>
          <w:b/>
          <w:color w:val="C00000"/>
        </w:rPr>
        <w:t xml:space="preserve">Key note: </w:t>
      </w:r>
      <w:r>
        <w:rPr>
          <w:b w:val="0"/>
          <w:color w:val="C00000"/>
        </w:rPr>
        <w:t>Accept “To reduce food waste …” and any sensible verb phrase after “make it a priority to”.</w:t>
      </w:r>
    </w:p>
    <w:p>
      <w:pPr>
        <w:spacing w:before="120" w:after="80"/>
      </w:pPr>
      <w:r>
        <w:rPr>
          <w:b/>
        </w:rPr>
        <w:t>Set 3. Topic: Cyberbullying</w:t>
      </w: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Simple sentence</w:t>
            </w:r>
          </w:p>
        </w:tc>
        <w:tc>
          <w:tcPr>
            <w:tcW w:type="dxa" w:w="8090"/>
          </w:tcPr>
          <w:p>
            <w:r>
              <w:rPr>
                <w:b w:val="0"/>
              </w:rPr>
              <w:t>Parents can talk to their children about cyberbullying.</w:t>
            </w:r>
          </w:p>
        </w:tc>
      </w:tr>
      <w:tr>
        <w:tc>
          <w:tcPr>
            <w:tcW w:type="dxa" w:w="1548"/>
          </w:tcPr>
          <w:p>
            <w:r>
              <w:rPr>
                <w:b/>
              </w:rPr>
              <w:t>Use Pattern 3</w:t>
            </w:r>
          </w:p>
        </w:tc>
        <w:tc>
          <w:tcPr>
            <w:tcW w:type="dxa" w:w="8090"/>
          </w:tcPr>
          <w:p>
            <w:r>
              <w:rPr>
                <w:b/>
                <w:color w:val="C00000"/>
              </w:rPr>
              <w:t>Parents, in collaboration with schools, should discuss online safety openly with their children.</w:t>
            </w:r>
          </w:p>
        </w:tc>
      </w:tr>
    </w:tbl>
    <w:p>
      <w:pPr>
        <w:spacing w:after="160"/>
      </w:pPr>
      <w:r>
        <w:rPr>
          <w:b/>
          <w:color w:val="C00000"/>
        </w:rPr>
        <w:t xml:space="preserve">Key note: </w:t>
      </w:r>
      <w:r>
        <w:rPr>
          <w:b w:val="0"/>
          <w:color w:val="C00000"/>
        </w:rPr>
        <w:t>Accept any sensible second party (the school, social workers) and any formal verb phrase (“set clear rules about online behaviour at home”).</w:t>
      </w:r>
    </w:p>
    <w:p>
      <w:pPr>
        <w:spacing w:before="120" w:after="80"/>
      </w:pPr>
      <w:r>
        <w:rPr>
          <w:b/>
        </w:rPr>
        <w:t>Set 4. Topic: Youth Mental Health (more challenging)</w:t>
      </w: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Simple sentences</w:t>
            </w:r>
          </w:p>
        </w:tc>
        <w:tc>
          <w:tcPr>
            <w:tcW w:type="dxa" w:w="8090"/>
          </w:tcPr>
          <w:p>
            <w:r>
              <w:rPr>
                <w:b w:val="0"/>
              </w:rPr>
              <w:t>The government can spend more money on mental health services.</w:t>
            </w:r>
          </w:p>
        </w:tc>
      </w:tr>
      <w:tr>
        <w:tc>
          <w:tcPr>
            <w:tcW w:type="dxa" w:w="1548"/>
          </w:tcPr>
          <w:p>
            <w:r>
              <w:rPr>
                <w:b/>
              </w:rPr>
            </w:r>
          </w:p>
        </w:tc>
        <w:tc>
          <w:tcPr>
            <w:tcW w:type="dxa" w:w="8090"/>
          </w:tcPr>
          <w:p>
            <w:r>
              <w:rPr>
                <w:b w:val="0"/>
              </w:rPr>
              <w:t>Young people need these services at school.</w:t>
            </w:r>
          </w:p>
        </w:tc>
      </w:tr>
      <w:tr>
        <w:tc>
          <w:tcPr>
            <w:tcW w:type="dxa" w:w="1548"/>
          </w:tcPr>
          <w:p>
            <w:r>
              <w:rPr>
                <w:b/>
              </w:rPr>
              <w:t>Use Pattern 1</w:t>
            </w:r>
          </w:p>
        </w:tc>
        <w:tc>
          <w:tcPr>
            <w:tcW w:type="dxa" w:w="8090"/>
          </w:tcPr>
          <w:p>
            <w:r>
              <w:rPr>
                <w:b/>
                <w:color w:val="C00000"/>
              </w:rPr>
              <w:t>It is high time that the government invested more in school-based mental health services for young people.</w:t>
            </w:r>
          </w:p>
        </w:tc>
      </w:tr>
    </w:tbl>
    <w:p>
      <w:pPr>
        <w:spacing w:after="160"/>
      </w:pPr>
      <w:r>
        <w:rPr>
          <w:b/>
          <w:color w:val="C00000"/>
        </w:rPr>
        <w:t xml:space="preserve">Key note: </w:t>
      </w:r>
      <w:r>
        <w:rPr>
          <w:b w:val="0"/>
          <w:color w:val="C00000"/>
        </w:rPr>
        <w:t>Idea 2 is folded into the modifier “school-based”, so the pattern stays one clean clause. Also accept “… invested more in mental health services in schools.”</w:t>
      </w:r>
    </w:p>
    <w:p>
      <w:pPr>
        <w:spacing w:before="120" w:after="80"/>
      </w:pPr>
      <w:r>
        <w:rPr>
          <w:b/>
        </w:rPr>
        <w:t>Set 5. Topic: Declining Reading Habits (more challenging)</w:t>
      </w: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Simple sentences</w:t>
            </w:r>
          </w:p>
        </w:tc>
        <w:tc>
          <w:tcPr>
            <w:tcW w:type="dxa" w:w="8090"/>
          </w:tcPr>
          <w:p>
            <w:r>
              <w:rPr>
                <w:b w:val="0"/>
              </w:rPr>
              <w:t>Schools can keep the library open after school.</w:t>
            </w:r>
          </w:p>
        </w:tc>
      </w:tr>
      <w:tr>
        <w:tc>
          <w:tcPr>
            <w:tcW w:type="dxa" w:w="1548"/>
          </w:tcPr>
          <w:p>
            <w:r>
              <w:rPr>
                <w:b/>
              </w:rPr>
            </w:r>
          </w:p>
        </w:tc>
        <w:tc>
          <w:tcPr>
            <w:tcW w:type="dxa" w:w="8090"/>
          </w:tcPr>
          <w:p>
            <w:r>
              <w:rPr>
                <w:b w:val="0"/>
              </w:rPr>
              <w:t>Students need a quiet place to read.</w:t>
            </w:r>
          </w:p>
        </w:tc>
      </w:tr>
      <w:tr>
        <w:tc>
          <w:tcPr>
            <w:tcW w:type="dxa" w:w="1548"/>
          </w:tcPr>
          <w:p>
            <w:r>
              <w:rPr>
                <w:b/>
              </w:rPr>
              <w:t>Use Pattern 2</w:t>
            </w:r>
          </w:p>
        </w:tc>
        <w:tc>
          <w:tcPr>
            <w:tcW w:type="dxa" w:w="8090"/>
          </w:tcPr>
          <w:p>
            <w:r>
              <w:rPr>
                <w:b/>
                <w:color w:val="C00000"/>
              </w:rPr>
              <w:t>To give students a quiet place to read, schools should make it a priority to keep the library open after school.</w:t>
            </w:r>
          </w:p>
        </w:tc>
      </w:tr>
    </w:tbl>
    <w:p>
      <w:pPr>
        <w:spacing w:after="160"/>
      </w:pPr>
      <w:r>
        <w:rPr>
          <w:b/>
          <w:color w:val="C00000"/>
        </w:rPr>
        <w:t xml:space="preserve">Key note: </w:t>
      </w:r>
      <w:r>
        <w:rPr>
          <w:b w:val="0"/>
          <w:color w:val="C00000"/>
        </w:rPr>
        <w:t>Idea 2 becomes the fronted goal; the second plain sentence must disappear into the pattern.</w:t>
      </w:r>
    </w:p>
    <w:p>
      <w:pPr>
        <w:spacing w:before="120" w:after="80"/>
      </w:pPr>
      <w:r>
        <w:rPr>
          <w:b/>
        </w:rPr>
        <w:t>Set 6. Topic: Care for the Elderly (more challenging)</w:t>
      </w:r>
    </w:p>
    <w:tbl>
      <w:tblPr>
        <w:tblStyle w:val="TableGrid"/>
        <w:tblW w:type="auto" w:w="0"/>
        <w:jc w:val="left"/>
        <w:tblLayout w:type="fixed"/>
        <w:tblLook w:firstColumn="1" w:firstRow="1" w:lastColumn="0" w:lastRow="0" w:noHBand="0" w:noVBand="1" w:val="04A0"/>
        <w:tblLayout w:type="fixed"/>
      </w:tblPr>
      <w:tblGrid>
        <w:gridCol w:w="4819"/>
        <w:gridCol w:w="4819"/>
      </w:tblGrid>
      <w:tr>
        <w:tc>
          <w:tcPr>
            <w:tcW w:type="dxa" w:w="1548"/>
          </w:tcPr>
          <w:p>
            <w:r>
              <w:rPr>
                <w:b/>
              </w:rPr>
              <w:t>Simple sentences</w:t>
            </w:r>
          </w:p>
        </w:tc>
        <w:tc>
          <w:tcPr>
            <w:tcW w:type="dxa" w:w="8090"/>
          </w:tcPr>
          <w:p>
            <w:r>
              <w:rPr>
                <w:b w:val="0"/>
              </w:rPr>
              <w:t>Teenagers can visit elderly neighbours who live alone.</w:t>
            </w:r>
          </w:p>
        </w:tc>
      </w:tr>
      <w:tr>
        <w:tc>
          <w:tcPr>
            <w:tcW w:type="dxa" w:w="1548"/>
          </w:tcPr>
          <w:p>
            <w:r>
              <w:rPr>
                <w:b/>
              </w:rPr>
            </w:r>
          </w:p>
        </w:tc>
        <w:tc>
          <w:tcPr>
            <w:tcW w:type="dxa" w:w="8090"/>
          </w:tcPr>
          <w:p>
            <w:r>
              <w:rPr>
                <w:b w:val="0"/>
              </w:rPr>
              <w:t>Community centres can arrange these visits.</w:t>
            </w:r>
          </w:p>
        </w:tc>
      </w:tr>
      <w:tr>
        <w:tc>
          <w:tcPr>
            <w:tcW w:type="dxa" w:w="1548"/>
          </w:tcPr>
          <w:p>
            <w:r>
              <w:rPr>
                <w:b/>
              </w:rPr>
              <w:t>Use Pattern 3</w:t>
            </w:r>
          </w:p>
        </w:tc>
        <w:tc>
          <w:tcPr>
            <w:tcW w:type="dxa" w:w="8090"/>
          </w:tcPr>
          <w:p>
            <w:r>
              <w:rPr>
                <w:b/>
                <w:color w:val="C00000"/>
              </w:rPr>
              <w:t>Teenagers, in collaboration with community centres, should organise regular visits to elderly neighbours who live alone.</w:t>
            </w:r>
          </w:p>
        </w:tc>
      </w:tr>
    </w:tbl>
    <w:p>
      <w:pPr>
        <w:spacing w:after="160"/>
      </w:pPr>
      <w:r>
        <w:rPr>
          <w:b/>
          <w:color w:val="C00000"/>
        </w:rPr>
        <w:t xml:space="preserve">Key note: </w:t>
      </w:r>
      <w:r>
        <w:rPr>
          <w:b w:val="0"/>
          <w:color w:val="C00000"/>
        </w:rPr>
        <w:t>Idea 2 becomes the second party after “in collaboration with”. Watch the plural: “the elderly” is already plural — never “the elderlies”.</w:t>
      </w:r>
    </w:p>
    <w:p>
      <w:pPr>
        <w:spacing w:before="160" w:after="120"/>
      </w:pPr>
      <w:r>
        <w:rPr>
          <w:b/>
        </w:rPr>
        <w:t>PART D: WRITING PRACTICE</w:t>
      </w:r>
    </w:p>
    <w:tbl>
      <w:tblPr>
        <w:tblStyle w:val="TableGrid"/>
        <w:tblW w:type="auto" w:w="0"/>
        <w:jc w:val="left"/>
        <w:tblLayout w:type="fixed"/>
        <w:tblLook w:firstColumn="1" w:firstRow="1" w:lastColumn="0" w:lastRow="0" w:noHBand="0" w:noVBand="1" w:val="04A0"/>
        <w:tblLayout w:type="fixed"/>
      </w:tblPr>
      <w:tblGrid>
        <w:gridCol w:w="9638"/>
      </w:tblGrid>
      <w:tr>
        <w:tc>
          <w:tcPr>
            <w:tcW w:type="dxa" w:w="9638"/>
            <w:shd w:val="clear" w:color="auto" w:fill="F2F2F2"/>
          </w:tcPr>
          <w:p>
            <w:r>
              <w:rPr>
                <w:b w:val="0"/>
              </w:rPr>
              <w:t>HKDSE Adapted Paper 2 Prompt:</w:t>
            </w:r>
          </w:p>
          <w:p>
            <w:r>
              <w:rPr>
                <w:b w:val="0"/>
              </w:rPr>
              <w:t>You are a Form 6 student. Your school is considering cutting one of the two weekly PE lessons so that F.6 students can have an extra period for examination preparation. Write a letter to the Principal expressing your opinion on this idea.</w:t>
            </w:r>
          </w:p>
        </w:tc>
      </w:tr>
    </w:tbl>
    <w:p>
      <w:pPr>
        <w:spacing w:before="160" w:after="80"/>
      </w:pPr>
      <w:r>
        <w:rPr>
          <w:b/>
        </w:rPr>
        <w:t>Task requirements:</w:t>
      </w:r>
    </w:p>
    <w:p>
      <w:pPr>
        <w:spacing w:after="0"/>
        <w:ind w:left="227"/>
      </w:pPr>
      <w:r>
        <w:rPr>
          <w:b w:val="0"/>
        </w:rPr>
        <w:t>Write ONE body paragraph (about 120 words) for this letter — not the whole letter.</w:t>
      </w:r>
    </w:p>
    <w:p>
      <w:pPr>
        <w:spacing w:after="0"/>
        <w:ind w:left="227"/>
      </w:pPr>
      <w:r>
        <w:rPr>
          <w:b w:val="0"/>
        </w:rPr>
        <w:t>State your view on the proposal, give at least one reason and at least one suggestion.</w:t>
      </w:r>
    </w:p>
    <w:p>
      <w:pPr>
        <w:spacing w:after="0"/>
        <w:ind w:left="227"/>
      </w:pPr>
      <w:r>
        <w:rPr>
          <w:b w:val="0"/>
        </w:rPr>
        <w:t>Use at least TWO of today’s three patterns and underline every target structure you use.</w:t>
      </w:r>
    </w:p>
    <w:p>
      <w:pPr>
        <w:spacing w:after="0"/>
        <w:ind w:left="227"/>
      </w:pPr>
      <w:r>
        <w:rPr>
          <w:b w:val="0"/>
        </w:rPr>
        <w:t>Follow the Lesson 2 chain: [Topic sentence] → [Explain] → [Example] → [Back to main idea].</w:t>
      </w:r>
    </w:p>
    <w:p>
      <w:pPr>
        <w:spacing w:before="200" w:after="80"/>
      </w:pPr>
      <w:r>
        <w:rPr>
          <w:b/>
        </w:rPr>
        <w:t>Teacher’s model answer (one paragraph, 129 words)</w:t>
      </w:r>
    </w:p>
    <w:p>
      <w:pPr>
        <w:spacing w:after="120"/>
      </w:pPr>
      <w:r>
        <w:rPr>
          <w:b w:val="0"/>
        </w:rPr>
        <w:t>Although an extra period for examination preparation sounds attractive, cutting one of our two weekly PE lessons would do F.6 students more harm than good.</w:t>
      </w:r>
      <w:r>
        <w:rPr>
          <w:b w:val="0"/>
          <w:color w:val="C00000"/>
        </w:rPr>
        <w:t xml:space="preserve">  [Topic sentence — states the stance]</w:t>
      </w:r>
    </w:p>
    <w:p>
      <w:pPr>
        <w:spacing w:after="120"/>
      </w:pPr>
      <w:r>
        <w:rPr>
          <w:b w:val="0"/>
        </w:rPr>
        <w:t>To keep us physically fit during the examination year, the school should make it a priority to protect both lessons and to improve what happens in them.</w:t>
      </w:r>
      <w:r>
        <w:rPr>
          <w:b w:val="0"/>
          <w:color w:val="C00000"/>
        </w:rPr>
        <w:t xml:space="preserve">  [Suggestion 1 — today’s Pattern 2]</w:t>
      </w:r>
    </w:p>
    <w:p>
      <w:pPr>
        <w:spacing w:after="120"/>
      </w:pPr>
      <w:r>
        <w:rPr>
          <w:b w:val="0"/>
        </w:rPr>
        <w:t>A single game of badminton or basketball clears the mind far more effectively than another hour of past papers, and the concentration we gain is worth the time we spend.</w:t>
      </w:r>
      <w:r>
        <w:rPr>
          <w:b w:val="0"/>
          <w:color w:val="C00000"/>
        </w:rPr>
        <w:t xml:space="preserve">  [Explain + Example]</w:t>
      </w:r>
    </w:p>
    <w:p>
      <w:pPr>
        <w:spacing w:after="120"/>
      </w:pPr>
      <w:r>
        <w:rPr>
          <w:b w:val="0"/>
        </w:rPr>
        <w:t>It is also high time that the school looked for the extra period somewhere else, such as the morning assembly, rather than taking it from the only lesson that keeps us moving.</w:t>
      </w:r>
      <w:r>
        <w:rPr>
          <w:b w:val="0"/>
          <w:color w:val="C00000"/>
        </w:rPr>
        <w:t xml:space="preserve">  [Suggestion 2 — today’s Pattern 1]</w:t>
      </w:r>
    </w:p>
    <w:p>
      <w:pPr>
        <w:spacing w:after="120"/>
      </w:pPr>
      <w:r>
        <w:rPr>
          <w:b w:val="0"/>
        </w:rPr>
        <w:t>I hope the Principal will reconsider the proposal before our health pays for our grades.</w:t>
      </w:r>
      <w:r>
        <w:rPr>
          <w:b w:val="0"/>
          <w:color w:val="C00000"/>
        </w:rPr>
        <w:t xml:space="preserve">  [Back to main idea — Link]</w:t>
      </w:r>
    </w:p>
    <w:p>
      <w:pPr>
        <w:spacing w:before="200" w:after="80"/>
      </w:pPr>
      <w:r>
        <w:rPr>
          <w:b/>
          <w:color w:val="C00000"/>
        </w:rPr>
        <w:t>What to reward when marking</w:t>
      </w:r>
    </w:p>
    <w:p>
      <w:pPr>
        <w:spacing w:after="0"/>
        <w:ind w:left="227"/>
      </w:pPr>
      <w:r>
        <w:rPr>
          <w:b w:val="0"/>
        </w:rPr>
        <w:t>Content: a clear stance on the cut itself, plus one realistic alternative — not just “PE is good for us”.</w:t>
      </w:r>
    </w:p>
    <w:p>
      <w:pPr>
        <w:spacing w:after="0"/>
        <w:ind w:left="227"/>
      </w:pPr>
      <w:r>
        <w:rPr>
          <w:b w:val="0"/>
        </w:rPr>
        <w:t>Language: the target patterns used accurately; formal verbs (protect, invest in, combat) rather than “help”; no “I think it is good / bad”.</w:t>
      </w:r>
    </w:p>
    <w:p>
      <w:pPr>
        <w:spacing w:after="0"/>
        <w:ind w:left="227"/>
      </w:pPr>
      <w:r>
        <w:rPr>
          <w:b w:val="0"/>
        </w:rPr>
        <w:t>Organisation: topic sentence first, then explain and exemplify, and a closing sentence that returns to the proposal.</w:t>
      </w:r>
    </w:p>
    <w:p>
      <w:pPr>
        <w:spacing w:before="160" w:after="80"/>
      </w:pPr>
      <w:r>
        <w:rPr>
          <w:b/>
          <w:color w:val="C00000"/>
        </w:rPr>
        <w:t>Common errors to watch when marking</w:t>
      </w:r>
    </w:p>
    <w:p>
      <w:pPr>
        <w:spacing w:after="0"/>
        <w:ind w:left="227"/>
      </w:pPr>
      <w:r>
        <w:rPr>
          <w:b w:val="0"/>
        </w:rPr>
        <w:t>“It is high time that the government promote …” → the past tense is needed (“promoted”).</w:t>
      </w:r>
    </w:p>
    <w:p>
      <w:pPr>
        <w:spacing w:after="0"/>
        <w:ind w:left="227"/>
      </w:pPr>
      <w:r>
        <w:rPr>
          <w:b w:val="0"/>
        </w:rPr>
        <w:t>“make it a priority to + –ing” → base verb only (“to add”).</w:t>
      </w:r>
    </w:p>
    <w:p>
      <w:pPr>
        <w:spacing w:after="0"/>
        <w:ind w:left="227"/>
      </w:pPr>
      <w:r>
        <w:rPr>
          <w:b w:val="0"/>
        </w:rPr>
        <w:t>“in collaboration with” used as a verb (“parents collaborate with schools should…”) → keep it as a phrase between the subject and the modal.</w:t>
      </w:r>
    </w:p>
    <w:p>
      <w:pPr>
        <w:spacing w:after="0"/>
        <w:ind w:left="227"/>
      </w:pPr>
      <w:r>
        <w:rPr>
          <w:b w:val="0"/>
        </w:rPr>
        <w:t>Sentence boundaries: a participle phrase after a comma with no matching subject (“Living in a fast-paced society, academic pressure …”), or a new sentence after a comma (“… flexibility, nevertheless, they cannot …”) → full stop and a capital letter.</w:t>
      </w:r>
    </w:p>
    <w:p>
      <w:pPr>
        <w:spacing w:after="0"/>
        <w:ind w:left="227"/>
      </w:pPr>
      <w:r>
        <w:rPr>
          <w:b w:val="0"/>
        </w:rPr>
        <w:t>“the elderly” treated as singular (“the elderlies”, “the elderly feels”).</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