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line="240" w:lineRule="auto"/>
      </w:pPr>
      <w:r>
        <w:rPr>
          <w:rFonts w:ascii="Trebuchet MS" w:hAnsi="Trebuchet MS"/>
          <w:b/>
          <w:sz w:val="20"/>
        </w:rPr>
        <w:t>St. Joseph's Anglo-Chinese School</w:t>
      </w:r>
    </w:p>
    <w:p>
      <w:pPr>
        <w:spacing w:after="0" w:line="240" w:lineRule="auto"/>
      </w:pPr>
      <w:r>
        <w:rPr>
          <w:rFonts w:ascii="Trebuchet MS" w:hAnsi="Trebuchet MS"/>
          <w:b/>
          <w:sz w:val="20"/>
        </w:rPr>
        <w:t>F.6 English Language</w:t>
      </w:r>
    </w:p>
    <w:p>
      <w:pPr>
        <w:spacing w:after="200" w:line="240" w:lineRule="auto"/>
      </w:pPr>
      <w:r>
        <w:rPr>
          <w:rFonts w:ascii="Trebuchet MS" w:hAnsi="Trebuchet MS"/>
          <w:b/>
          <w:sz w:val="20"/>
        </w:rPr>
        <w:t>Grammar &amp; Writing – Lesson 3: Discussing Solutions</w:t>
      </w:r>
    </w:p>
    <w:p>
      <w:pPr>
        <w:spacing w:after="240"/>
      </w:pPr>
      <w:r>
        <w:rPr>
          <w:b/>
          <w:color w:val="C00000"/>
        </w:rPr>
        <w:t>TEACHER’S VERSION — answers, model answers and teaching notes are printed in red.</w:t>
      </w:r>
    </w:p>
    <w:p>
      <w:pPr>
        <w:spacing w:before="160" w:after="120"/>
      </w:pPr>
      <w:r>
        <w:rPr>
          <w:b/>
        </w:rPr>
        <w:t>PART A: PROOFREADING (10 SENTENCES)</w:t>
      </w:r>
    </w:p>
    <w:p>
      <w:r>
        <w:rPr>
          <w:b w:val="0"/>
        </w:rPr>
        <w:t>Each sentence below contains ONE error in the sentence patterns you learnt in Lesson 1 (introductions) and Lesson 2 (argument topic sentences). Find the error and write the corrected sentence.</w:t>
      </w:r>
    </w:p>
    <w:tbl>
      <w:tblPr>
        <w:tblStyle w:val="TableGrid"/>
        <w:tblW w:type="auto" w:w="0"/>
        <w:jc w:val="left"/>
        <w:tblLayout w:type="fixed"/>
        <w:tblLook w:firstColumn="1" w:firstRow="1" w:lastColumn="0" w:lastRow="0" w:noHBand="0" w:noVBand="1" w:val="04A0"/>
        <w:tblLayout w:type="fixed"/>
      </w:tblPr>
      <w:tblGrid>
        <w:gridCol w:w="9638"/>
      </w:tblGrid>
      <w:tr>
        <w:tc>
          <w:tcPr>
            <w:tcW w:type="dxa" w:w="9638"/>
          </w:tcPr>
          <w:p>
            <w:r>
              <w:rPr>
                <w:b/>
              </w:rPr>
              <w:t xml:space="preserve">1. </w:t>
            </w:r>
            <w:r>
              <w:rPr>
                <w:b w:val="0"/>
              </w:rPr>
              <w:t>In recent years, social media has become indispensable part of daily life for young people.</w:t>
            </w:r>
          </w:p>
          <w:p>
            <w:r>
              <w:rPr>
                <w:b/>
              </w:rPr>
              <w:t xml:space="preserve">2. </w:t>
            </w:r>
            <w:r>
              <w:rPr>
                <w:b w:val="0"/>
              </w:rPr>
              <w:t>Living in a fast-paced society, academic pressure has become increasingly heavy for students.</w:t>
            </w:r>
          </w:p>
          <w:p>
            <w:r>
              <w:rPr>
                <w:b/>
              </w:rPr>
              <w:t xml:space="preserve">3. </w:t>
            </w:r>
            <w:r>
              <w:rPr>
                <w:b w:val="0"/>
              </w:rPr>
              <w:t>In recent times, the issue of plastic pollution have sparked widespread concern across society.</w:t>
            </w:r>
          </w:p>
          <w:p>
            <w:r>
              <w:rPr>
                <w:b/>
              </w:rPr>
              <w:t xml:space="preserve">4. </w:t>
            </w:r>
            <w:r>
              <w:rPr>
                <w:b w:val="0"/>
              </w:rPr>
              <w:t>It is undeniable that sleep plays a pivotal role to shape students’ memory and concentration.</w:t>
            </w:r>
          </w:p>
          <w:p>
            <w:r>
              <w:rPr>
                <w:b/>
              </w:rPr>
              <w:t xml:space="preserve">5. </w:t>
            </w:r>
            <w:r>
              <w:rPr>
                <w:b w:val="0"/>
              </w:rPr>
              <w:t>To begin with, part-time work offers students to gain real-world experience, paving the way for their future careers.</w:t>
            </w:r>
          </w:p>
          <w:p>
            <w:r>
              <w:rPr>
                <w:b/>
              </w:rPr>
              <w:t xml:space="preserve">6. </w:t>
            </w:r>
            <w:r>
              <w:rPr>
                <w:b w:val="0"/>
              </w:rPr>
              <w:t>To begin with, volunteering offers teenagers a golden opportunity to meet new people, paved the way for a wider social circle.</w:t>
            </w:r>
          </w:p>
          <w:p>
            <w:r>
              <w:rPr>
                <w:b/>
              </w:rPr>
              <w:t xml:space="preserve">7. </w:t>
            </w:r>
            <w:r>
              <w:rPr>
                <w:b w:val="0"/>
              </w:rPr>
              <w:t>From the perspective of students, a balanced timetable allows them to manage their time wisely, which in turn boosting their academic performance.</w:t>
            </w:r>
          </w:p>
          <w:p>
            <w:r>
              <w:rPr>
                <w:b/>
              </w:rPr>
              <w:t xml:space="preserve">8. </w:t>
            </w:r>
            <w:r>
              <w:rPr>
                <w:b w:val="0"/>
              </w:rPr>
              <w:t>Team sports serve as a powerful means of relieve stress, which enables students to recharge both physically and mentally.</w:t>
            </w:r>
          </w:p>
          <w:p>
            <w:r>
              <w:rPr>
                <w:b/>
              </w:rPr>
              <w:t xml:space="preserve">9. </w:t>
            </w:r>
            <w:r>
              <w:rPr>
                <w:b w:val="0"/>
              </w:rPr>
              <w:t>Admittedly, online lessons offer students greater flexibility, nevertheless, they cannot replace face-to-face interaction, as real-time discussion sparks deeper engagement.</w:t>
            </w:r>
          </w:p>
          <w:p>
            <w:r>
              <w:rPr>
                <w:b/>
              </w:rPr>
              <w:t xml:space="preserve">10. </w:t>
            </w:r>
            <w:r>
              <w:rPr>
                <w:b w:val="0"/>
              </w:rPr>
              <w:t>Reading serves as a powerful means of broadening students’ horizons, which enable them to understand the world beyond the classroom.</w:t>
            </w:r>
          </w:p>
        </w:tc>
      </w:tr>
    </w:tbl>
    <w:p>
      <w:pPr>
        <w:spacing w:after="0"/>
      </w:pPr>
    </w:p>
    <w:p>
      <w:pPr>
        <w:spacing w:before="160" w:after="120"/>
      </w:pPr>
      <w:r>
        <w:rPr>
          <w:b/>
        </w:rPr>
        <w:t>TEACHER’S ANSWERS (LESSON 3, PART A)</w:t>
      </w:r>
    </w:p>
    <w:tbl>
      <w:tblPr>
        <w:tblStyle w:val="TableGrid"/>
        <w:tblW w:type="auto" w:w="0"/>
        <w:jc w:val="left"/>
        <w:tblLayout w:type="fixed"/>
        <w:tblLook w:firstColumn="1" w:firstRow="1" w:lastColumn="0" w:lastRow="0" w:noHBand="0" w:noVBand="1" w:val="04A0"/>
        <w:tblLayout w:type="fixed"/>
      </w:tblPr>
      <w:tblGrid>
        <w:gridCol w:w="3213"/>
        <w:gridCol w:w="3213"/>
        <w:gridCol w:w="3213"/>
      </w:tblGrid>
      <w:tr>
        <w:tc>
          <w:tcPr>
            <w:tcW w:type="dxa" w:w="567"/>
            <w:shd w:val="clear" w:color="auto" w:fill="D9D9D9"/>
          </w:tcPr>
          <w:p>
            <w:r>
              <w:rPr>
                <w:b/>
              </w:rPr>
              <w:t>Item</w:t>
            </w:r>
          </w:p>
        </w:tc>
        <w:tc>
          <w:tcPr>
            <w:tcW w:type="dxa" w:w="4535"/>
            <w:shd w:val="clear" w:color="auto" w:fill="D9D9D9"/>
          </w:tcPr>
          <w:p>
            <w:r>
              <w:rPr>
                <w:b/>
              </w:rPr>
              <w:t>Corrected sentence</w:t>
            </w:r>
          </w:p>
        </w:tc>
        <w:tc>
          <w:tcPr>
            <w:tcW w:type="dxa" w:w="4535"/>
            <w:shd w:val="clear" w:color="auto" w:fill="D9D9D9"/>
          </w:tcPr>
          <w:p>
            <w:r>
              <w:rPr>
                <w:b/>
              </w:rPr>
              <w:t>The error and why (pattern)</w:t>
            </w:r>
          </w:p>
        </w:tc>
      </w:tr>
      <w:tr>
        <w:tc>
          <w:tcPr>
            <w:tcW w:type="dxa" w:w="567"/>
          </w:tcPr>
          <w:p>
            <w:r>
              <w:rPr>
                <w:b/>
                <w:color w:val="C00000"/>
              </w:rPr>
              <w:t>1</w:t>
            </w:r>
          </w:p>
        </w:tc>
        <w:tc>
          <w:tcPr>
            <w:tcW w:type="dxa" w:w="4535"/>
          </w:tcPr>
          <w:p>
            <w:r>
              <w:rPr>
                <w:b w:val="0"/>
                <w:color w:val="C00000"/>
              </w:rPr>
              <w:t>In recent years, social media has become an indispensable part of daily life for young people.</w:t>
            </w:r>
          </w:p>
        </w:tc>
        <w:tc>
          <w:tcPr>
            <w:tcW w:type="dxa" w:w="4535"/>
          </w:tcPr>
          <w:p>
            <w:r>
              <w:rPr>
                <w:b w:val="0"/>
                <w:color w:val="C00000"/>
              </w:rPr>
              <w:t>Missing article. The pattern is “an indispensable part of”: the singular countable noun “part” needs “an” before it. (Lesson 1, Pattern 1)</w:t>
            </w:r>
          </w:p>
        </w:tc>
      </w:tr>
      <w:tr>
        <w:tc>
          <w:tcPr>
            <w:tcW w:type="dxa" w:w="567"/>
          </w:tcPr>
          <w:p>
            <w:r>
              <w:rPr>
                <w:b/>
                <w:color w:val="C00000"/>
              </w:rPr>
              <w:t>2</w:t>
            </w:r>
          </w:p>
        </w:tc>
        <w:tc>
          <w:tcPr>
            <w:tcW w:type="dxa" w:w="4535"/>
          </w:tcPr>
          <w:p>
            <w:r>
              <w:rPr>
                <w:b w:val="0"/>
                <w:color w:val="C00000"/>
              </w:rPr>
              <w:t>Living in a fast-paced society, students are constantly exposed to increasing academic pressure.</w:t>
            </w:r>
          </w:p>
        </w:tc>
        <w:tc>
          <w:tcPr>
            <w:tcW w:type="dxa" w:w="4535"/>
          </w:tcPr>
          <w:p>
            <w:r>
              <w:rPr>
                <w:b w:val="0"/>
                <w:color w:val="C00000"/>
              </w:rPr>
              <w:t>Dangling participle. After “Living in a fast-paced society”, the subject of the main clause must be the people who do the living — “students”, not “academic pressure”. (Lesson 1, Pattern 2)</w:t>
            </w:r>
          </w:p>
        </w:tc>
      </w:tr>
      <w:tr>
        <w:tc>
          <w:tcPr>
            <w:tcW w:type="dxa" w:w="567"/>
          </w:tcPr>
          <w:p>
            <w:r>
              <w:rPr>
                <w:b/>
                <w:color w:val="C00000"/>
              </w:rPr>
              <w:t>3</w:t>
            </w:r>
          </w:p>
        </w:tc>
        <w:tc>
          <w:tcPr>
            <w:tcW w:type="dxa" w:w="4535"/>
          </w:tcPr>
          <w:p>
            <w:r>
              <w:rPr>
                <w:b w:val="0"/>
                <w:color w:val="C00000"/>
              </w:rPr>
              <w:t>In recent times, the issue of plastic pollution has sparked widespread concern across society.</w:t>
            </w:r>
          </w:p>
        </w:tc>
        <w:tc>
          <w:tcPr>
            <w:tcW w:type="dxa" w:w="4535"/>
          </w:tcPr>
          <w:p>
            <w:r>
              <w:rPr>
                <w:b w:val="0"/>
                <w:color w:val="C00000"/>
              </w:rPr>
              <w:t>Subject–verb agreement. The subject is “the issue” (singular), so the verb is “has sparked”, not “have sparked”. (Lesson 1, Pattern 3)</w:t>
            </w:r>
          </w:p>
        </w:tc>
      </w:tr>
      <w:tr>
        <w:tc>
          <w:tcPr>
            <w:tcW w:type="dxa" w:w="567"/>
          </w:tcPr>
          <w:p>
            <w:r>
              <w:rPr>
                <w:b/>
                <w:color w:val="C00000"/>
              </w:rPr>
              <w:t>4</w:t>
            </w:r>
          </w:p>
        </w:tc>
        <w:tc>
          <w:tcPr>
            <w:tcW w:type="dxa" w:w="4535"/>
          </w:tcPr>
          <w:p>
            <w:r>
              <w:rPr>
                <w:b w:val="0"/>
                <w:color w:val="C00000"/>
              </w:rPr>
              <w:t>It is undeniable that sleep plays a pivotal role in shaping students’ memory and concentration.</w:t>
            </w:r>
          </w:p>
        </w:tc>
        <w:tc>
          <w:tcPr>
            <w:tcW w:type="dxa" w:w="4535"/>
          </w:tcPr>
          <w:p>
            <w:r>
              <w:rPr>
                <w:b w:val="0"/>
                <w:color w:val="C00000"/>
              </w:rPr>
              <w:t>Wrong preposition. The fixed collocation is “play a pivotal role IN + gerund”, never “role to + verb”. (Lesson 1, Pattern 4)</w:t>
            </w:r>
          </w:p>
        </w:tc>
      </w:tr>
      <w:tr>
        <w:tc>
          <w:tcPr>
            <w:tcW w:type="dxa" w:w="567"/>
          </w:tcPr>
          <w:p>
            <w:r>
              <w:rPr>
                <w:b/>
                <w:color w:val="C00000"/>
              </w:rPr>
              <w:t>5</w:t>
            </w:r>
          </w:p>
        </w:tc>
        <w:tc>
          <w:tcPr>
            <w:tcW w:type="dxa" w:w="4535"/>
          </w:tcPr>
          <w:p>
            <w:r>
              <w:rPr>
                <w:b w:val="0"/>
                <w:color w:val="C00000"/>
              </w:rPr>
              <w:t>To begin with, part-time work offers students a golden opportunity to gain real-world experience, paving the way for their future careers.</w:t>
            </w:r>
          </w:p>
        </w:tc>
        <w:tc>
          <w:tcPr>
            <w:tcW w:type="dxa" w:w="4535"/>
          </w:tcPr>
          <w:p>
            <w:r>
              <w:rPr>
                <w:b w:val="0"/>
                <w:color w:val="C00000"/>
              </w:rPr>
              <w:t>“Offer” takes two objects: offer somebody something. Write “offer students a golden opportunity to gain” — never “offer students to gain”. (Lesson 2, Pattern 1)</w:t>
            </w:r>
          </w:p>
        </w:tc>
      </w:tr>
      <w:tr>
        <w:tc>
          <w:tcPr>
            <w:tcW w:type="dxa" w:w="567"/>
          </w:tcPr>
          <w:p>
            <w:r>
              <w:rPr>
                <w:b/>
                <w:color w:val="C00000"/>
              </w:rPr>
              <w:t>6</w:t>
            </w:r>
          </w:p>
        </w:tc>
        <w:tc>
          <w:tcPr>
            <w:tcW w:type="dxa" w:w="4535"/>
          </w:tcPr>
          <w:p>
            <w:r>
              <w:rPr>
                <w:b w:val="0"/>
                <w:color w:val="C00000"/>
              </w:rPr>
              <w:t>To begin with, volunteering offers teenagers a golden opportunity to meet new people, paving the way for a wider social circle.</w:t>
            </w:r>
          </w:p>
        </w:tc>
        <w:tc>
          <w:tcPr>
            <w:tcW w:type="dxa" w:w="4535"/>
          </w:tcPr>
          <w:p>
            <w:r>
              <w:rPr>
                <w:b w:val="0"/>
                <w:color w:val="C00000"/>
              </w:rPr>
              <w:t>Participle form. The comment after the comma describes the previous clause, so it must be the –ing participle “paving” — the past participle “paved” has no subject. (Lesson 2, Pattern 1)</w:t>
            </w:r>
          </w:p>
        </w:tc>
      </w:tr>
      <w:tr>
        <w:tc>
          <w:tcPr>
            <w:tcW w:type="dxa" w:w="567"/>
          </w:tcPr>
          <w:p>
            <w:r>
              <w:rPr>
                <w:b/>
                <w:color w:val="C00000"/>
              </w:rPr>
              <w:t>7</w:t>
            </w:r>
          </w:p>
        </w:tc>
        <w:tc>
          <w:tcPr>
            <w:tcW w:type="dxa" w:w="4535"/>
          </w:tcPr>
          <w:p>
            <w:r>
              <w:rPr>
                <w:b w:val="0"/>
                <w:color w:val="C00000"/>
              </w:rPr>
              <w:t>From the perspective of students, a balanced timetable allows them to manage their time wisely, which in turn boosts their academic performance.</w:t>
            </w:r>
          </w:p>
        </w:tc>
        <w:tc>
          <w:tcPr>
            <w:tcW w:type="dxa" w:w="4535"/>
          </w:tcPr>
          <w:p>
            <w:r>
              <w:rPr>
                <w:b w:val="0"/>
                <w:color w:val="C00000"/>
              </w:rPr>
              <w:t>Verb form after “which in turn”. The clause needs a finite present-tense verb (“boosts”), not a participle (“boosting”). (Lesson 2, Pattern 2)</w:t>
            </w:r>
          </w:p>
        </w:tc>
      </w:tr>
      <w:tr>
        <w:tc>
          <w:tcPr>
            <w:tcW w:type="dxa" w:w="567"/>
          </w:tcPr>
          <w:p>
            <w:r>
              <w:rPr>
                <w:b/>
                <w:color w:val="C00000"/>
              </w:rPr>
              <w:t>8</w:t>
            </w:r>
          </w:p>
        </w:tc>
        <w:tc>
          <w:tcPr>
            <w:tcW w:type="dxa" w:w="4535"/>
          </w:tcPr>
          <w:p>
            <w:r>
              <w:rPr>
                <w:b w:val="0"/>
                <w:color w:val="C00000"/>
              </w:rPr>
              <w:t>Team sports serve as a powerful means of relieving stress, which enables students to recharge both physically and mentally.</w:t>
            </w:r>
          </w:p>
        </w:tc>
        <w:tc>
          <w:tcPr>
            <w:tcW w:type="dxa" w:w="4535"/>
          </w:tcPr>
          <w:p>
            <w:r>
              <w:rPr>
                <w:b w:val="0"/>
                <w:color w:val="C00000"/>
              </w:rPr>
              <w:t>The pattern is “a means OF + gerund”. After the preposition “of”, use the –ing form: “of relieving”, not “of relieve”. (Lesson 2, Pattern 3)</w:t>
            </w:r>
          </w:p>
        </w:tc>
      </w:tr>
      <w:tr>
        <w:tc>
          <w:tcPr>
            <w:tcW w:type="dxa" w:w="567"/>
          </w:tcPr>
          <w:p>
            <w:r>
              <w:rPr>
                <w:b/>
                <w:color w:val="C00000"/>
              </w:rPr>
              <w:t>9</w:t>
            </w:r>
          </w:p>
        </w:tc>
        <w:tc>
          <w:tcPr>
            <w:tcW w:type="dxa" w:w="4535"/>
          </w:tcPr>
          <w:p>
            <w:r>
              <w:rPr>
                <w:b w:val="0"/>
                <w:color w:val="C00000"/>
              </w:rPr>
              <w:t>Admittedly, online lessons offer students greater flexibility. Nevertheless, they cannot replace face-to-face interaction, as real-time discussion sparks deeper engagement.</w:t>
            </w:r>
          </w:p>
        </w:tc>
        <w:tc>
          <w:tcPr>
            <w:tcW w:type="dxa" w:w="4535"/>
          </w:tcPr>
          <w:p>
            <w:r>
              <w:rPr>
                <w:b w:val="0"/>
                <w:color w:val="C00000"/>
              </w:rPr>
              <w:t>Comma splice. “Nevertheless” begins a new sentence, so the comma before it must become a full stop (or a semicolon) and “Nevertheless” takes a capital letter. (Lesson 2, Pattern 4)</w:t>
            </w:r>
          </w:p>
        </w:tc>
      </w:tr>
      <w:tr>
        <w:tc>
          <w:tcPr>
            <w:tcW w:type="dxa" w:w="567"/>
          </w:tcPr>
          <w:p>
            <w:r>
              <w:rPr>
                <w:b/>
                <w:color w:val="C00000"/>
              </w:rPr>
              <w:t>10</w:t>
            </w:r>
          </w:p>
        </w:tc>
        <w:tc>
          <w:tcPr>
            <w:tcW w:type="dxa" w:w="4535"/>
          </w:tcPr>
          <w:p>
            <w:r>
              <w:rPr>
                <w:b w:val="0"/>
                <w:color w:val="C00000"/>
              </w:rPr>
              <w:t>Reading serves as a powerful means of broadening students’ horizons, which enables them to understand the world beyond the classroom.</w:t>
            </w:r>
          </w:p>
        </w:tc>
        <w:tc>
          <w:tcPr>
            <w:tcW w:type="dxa" w:w="4535"/>
          </w:tcPr>
          <w:p>
            <w:r>
              <w:rPr>
                <w:b w:val="0"/>
                <w:color w:val="C00000"/>
              </w:rPr>
              <w:t>Agreement after “which”. “Which” refers to the activity of reading (singular), so the verb is “enables”, not “enable”. (Lesson 2, Pattern 3)</w:t>
            </w:r>
          </w:p>
        </w:tc>
      </w:tr>
    </w:tbl>
    <w:p>
      <w:pPr>
        <w:spacing w:after="0"/>
      </w:pPr>
    </w:p>
    <w:p>
      <w:pPr>
        <w:spacing w:before="160" w:after="120"/>
      </w:pPr>
      <w:r>
        <w:rPr>
          <w:b/>
        </w:rPr>
        <w:t>PART B: UPGRADING SENTENCES — MAKING SUGGESTIONS</w:t>
      </w:r>
    </w:p>
    <w:p>
      <w:r>
        <w:rPr>
          <w:b w:val="0"/>
        </w:rPr>
        <w:t>In the paragraph that suggests solutions, most students write “Schools can …”, “The government can …” and “Parents can …”. These sentences are correct, but they are plain: they show the marker what you think, not how well you can write. Part B gives you THREE patterns that upgrade exactly these sentences. Each one is easy to remember, and each one carries one “wow” feature that impresses the marker.</w:t>
      </w:r>
    </w:p>
    <w:p>
      <w:pPr>
        <w:spacing w:after="200"/>
      </w:pPr>
      <w:r>
        <w:rPr>
          <w:b/>
        </w:rPr>
        <w:t xml:space="preserve">Topic for this part: </w:t>
      </w:r>
      <w:r>
        <w:rPr>
          <w:b w:val="0"/>
        </w:rPr>
        <w:t>boost the physical fitness and awareness of citizens</w:t>
      </w:r>
    </w:p>
    <w:tbl>
      <w:tblPr>
        <w:tblStyle w:val="TableGrid"/>
        <w:tblW w:type="auto" w:w="0"/>
        <w:jc w:val="left"/>
        <w:tblLayout w:type="fixed"/>
        <w:tblLook w:firstColumn="1" w:firstRow="1" w:lastColumn="0" w:lastRow="0" w:noHBand="0" w:noVBand="1" w:val="04A0"/>
        <w:tblLayout w:type="fixed"/>
      </w:tblPr>
      <w:tblGrid>
        <w:gridCol w:w="9638"/>
      </w:tblGrid>
      <w:tr>
        <w:tc>
          <w:tcPr>
            <w:tcW w:type="dxa" w:w="9638"/>
            <w:shd w:val="clear" w:color="auto" w:fill="D9D9D9"/>
          </w:tcPr>
          <w:p>
            <w:r>
              <w:rPr>
                <w:b/>
              </w:rPr>
              <w:t>LEVEL 3 — THE BASIC SENTENCES STUDENTS USUALLY WRITE</w:t>
            </w:r>
          </w:p>
          <w:p>
            <w:r>
              <w:rPr>
                <w:b w:val="0"/>
              </w:rPr>
              <w:t>The government can build more sports facilities.</w:t>
            </w:r>
          </w:p>
          <w:p>
            <w:r>
              <w:rPr>
                <w:b w:val="0"/>
              </w:rPr>
              <w:t>Schools can organise more sports activities and sports days.</w:t>
            </w:r>
          </w:p>
          <w:p>
            <w:r>
              <w:rPr>
                <w:b w:val="0"/>
              </w:rPr>
              <w:t>Parents can exercise with their children at weekends.</w:t>
            </w:r>
          </w:p>
        </w:tc>
      </w:tr>
    </w:tbl>
    <w:p>
      <w:pPr>
        <w:spacing w:after="0"/>
      </w:pPr>
    </w:p>
    <w:tbl>
      <w:tblPr>
        <w:tblStyle w:val="TableGrid"/>
        <w:tblW w:type="auto" w:w="0"/>
        <w:jc w:val="left"/>
        <w:tblLayout w:type="fixed"/>
        <w:tblLook w:firstColumn="1" w:firstRow="1" w:lastColumn="0" w:lastRow="0" w:noHBand="0" w:noVBand="1" w:val="04A0"/>
        <w:tblLayout w:type="fixed"/>
      </w:tblPr>
      <w:tblGrid>
        <w:gridCol w:w="9638"/>
      </w:tblGrid>
      <w:tr>
        <w:tc>
          <w:tcPr>
            <w:tcW w:type="dxa" w:w="9638"/>
          </w:tcPr>
          <w:p>
            <w:r>
              <w:rPr>
                <w:b/>
              </w:rPr>
              <w:t>Pattern 1 — Calling for Immediate Action</w:t>
            </w:r>
          </w:p>
          <w:p>
            <w:r>
              <w:rPr>
                <w:b/>
              </w:rPr>
              <w:t xml:space="preserve">Target Formula: </w:t>
            </w:r>
            <w:r>
              <w:rPr>
                <w:b w:val="0"/>
              </w:rPr>
              <w:t>It is high time that [doer] [PAST-TENSE verb phrase], so as to [purpose].</w:t>
            </w:r>
          </w:p>
        </w:tc>
      </w:tr>
    </w:tbl>
    <w:p>
      <w:pPr>
        <w:spacing w:after="0"/>
      </w:pPr>
    </w:p>
    <w:tbl>
      <w:tblPr>
        <w:tblStyle w:val="TableGrid"/>
        <w:tblW w:type="auto" w:w="0"/>
        <w:jc w:val="left"/>
        <w:tblLayout w:type="fixed"/>
        <w:tblLook w:firstColumn="1" w:firstRow="1" w:lastColumn="0" w:lastRow="0" w:noHBand="0" w:noVBand="1" w:val="04A0"/>
        <w:tblLayout w:type="fixed"/>
      </w:tblPr>
      <w:tblGrid>
        <w:gridCol w:w="4819"/>
        <w:gridCol w:w="4819"/>
      </w:tblGrid>
      <w:tr>
        <w:tc>
          <w:tcPr>
            <w:tcW w:type="dxa" w:w="1548"/>
          </w:tcPr>
          <w:p>
            <w:r>
              <w:rPr>
                <w:b/>
              </w:rPr>
              <w:t>Level 3:</w:t>
            </w:r>
          </w:p>
        </w:tc>
        <w:tc>
          <w:tcPr>
            <w:tcW w:type="dxa" w:w="8090"/>
          </w:tcPr>
          <w:p>
            <w:r>
              <w:rPr>
                <w:b w:val="0"/>
              </w:rPr>
              <w:t>The government can build more sports facilities.</w:t>
            </w:r>
          </w:p>
        </w:tc>
      </w:tr>
      <w:tr>
        <w:tc>
          <w:tcPr>
            <w:tcW w:type="dxa" w:w="1548"/>
          </w:tcPr>
          <w:p>
            <w:r>
              <w:rPr>
                <w:b/>
              </w:rPr>
              <w:t>Level 5:</w:t>
            </w:r>
          </w:p>
        </w:tc>
        <w:tc>
          <w:tcPr>
            <w:tcW w:type="dxa" w:w="8090"/>
          </w:tcPr>
          <w:p>
            <w:r>
              <w:rPr>
                <w:b/>
              </w:rPr>
              <w:t>It is high time that</w:t>
            </w:r>
            <w:r>
              <w:rPr>
                <w:b w:val="0"/>
              </w:rPr>
              <w:t xml:space="preserve"> the government </w:t>
            </w:r>
            <w:r>
              <w:rPr>
                <w:b/>
              </w:rPr>
              <w:t>invested</w:t>
            </w:r>
            <w:r>
              <w:rPr>
                <w:b w:val="0"/>
              </w:rPr>
              <w:t xml:space="preserve"> in accessible sports facilities, </w:t>
            </w:r>
            <w:r>
              <w:rPr>
                <w:b/>
              </w:rPr>
              <w:t>so as to</w:t>
            </w:r>
            <w:r>
              <w:rPr>
                <w:b w:val="0"/>
              </w:rPr>
              <w:t xml:space="preserve"> make regular exercise possible for every citizen.</w:t>
            </w:r>
          </w:p>
        </w:tc>
      </w:tr>
    </w:tbl>
    <w:p>
      <w:r>
        <w:rPr>
          <w:b/>
          <w:color w:val="C00000"/>
        </w:rPr>
        <w:t xml:space="preserve">Teaching note: </w:t>
      </w:r>
      <w:r>
        <w:rPr>
          <w:b w:val="0"/>
          <w:color w:val="C00000"/>
        </w:rPr>
        <w:t>“It is high time that” is followed by the PAST tense — invested / launched / reviewed — never the present tense (“invests”). If students panic, the easy alternative is “It is high time for the government TO invest …”. Keep the purpose clause as “so as to + base verb”.</w:t>
      </w:r>
    </w:p>
    <w:p>
      <w:pPr>
        <w:spacing w:after="0"/>
      </w:pPr>
    </w:p>
    <w:tbl>
      <w:tblPr>
        <w:tblStyle w:val="TableGrid"/>
        <w:tblW w:type="auto" w:w="0"/>
        <w:jc w:val="left"/>
        <w:tblLayout w:type="fixed"/>
        <w:tblLook w:firstColumn="1" w:firstRow="1" w:lastColumn="0" w:lastRow="0" w:noHBand="0" w:noVBand="1" w:val="04A0"/>
        <w:tblLayout w:type="fixed"/>
      </w:tblPr>
      <w:tblGrid>
        <w:gridCol w:w="9638"/>
      </w:tblGrid>
      <w:tr>
        <w:tc>
          <w:tcPr>
            <w:tcW w:type="dxa" w:w="9638"/>
          </w:tcPr>
          <w:p>
            <w:r>
              <w:rPr>
                <w:b/>
              </w:rPr>
              <w:t>Pattern 2 — Purpose-First Recommendation</w:t>
            </w:r>
          </w:p>
          <w:p>
            <w:r>
              <w:rPr>
                <w:b/>
              </w:rPr>
              <w:t xml:space="preserve">Target Formula: </w:t>
            </w:r>
            <w:r>
              <w:rPr>
                <w:b w:val="0"/>
              </w:rPr>
              <w:t>To [goal], [doer] should make it a priority to [base verb phrase], thereby [gerund phrase — the result].</w:t>
            </w:r>
          </w:p>
        </w:tc>
      </w:tr>
    </w:tbl>
    <w:p>
      <w:pPr>
        <w:spacing w:after="0"/>
      </w:pPr>
    </w:p>
    <w:tbl>
      <w:tblPr>
        <w:tblStyle w:val="TableGrid"/>
        <w:tblW w:type="auto" w:w="0"/>
        <w:jc w:val="left"/>
        <w:tblLayout w:type="fixed"/>
        <w:tblLook w:firstColumn="1" w:firstRow="1" w:lastColumn="0" w:lastRow="0" w:noHBand="0" w:noVBand="1" w:val="04A0"/>
        <w:tblLayout w:type="fixed"/>
      </w:tblPr>
      <w:tblGrid>
        <w:gridCol w:w="4819"/>
        <w:gridCol w:w="4819"/>
      </w:tblGrid>
      <w:tr>
        <w:tc>
          <w:tcPr>
            <w:tcW w:type="dxa" w:w="1548"/>
          </w:tcPr>
          <w:p>
            <w:r>
              <w:rPr>
                <w:b/>
              </w:rPr>
              <w:t>Level 3:</w:t>
            </w:r>
          </w:p>
        </w:tc>
        <w:tc>
          <w:tcPr>
            <w:tcW w:type="dxa" w:w="8090"/>
          </w:tcPr>
          <w:p>
            <w:r>
              <w:rPr>
                <w:b w:val="0"/>
              </w:rPr>
              <w:t>Schools can organise more sports activities and sports days.</w:t>
            </w:r>
          </w:p>
        </w:tc>
      </w:tr>
      <w:tr>
        <w:tc>
          <w:tcPr>
            <w:tcW w:type="dxa" w:w="1548"/>
          </w:tcPr>
          <w:p>
            <w:r>
              <w:rPr>
                <w:b/>
              </w:rPr>
              <w:t>Level 5:</w:t>
            </w:r>
          </w:p>
        </w:tc>
        <w:tc>
          <w:tcPr>
            <w:tcW w:type="dxa" w:w="8090"/>
          </w:tcPr>
          <w:p>
            <w:r>
              <w:rPr>
                <w:b/>
              </w:rPr>
              <w:t>To boost students’ physical fitness</w:t>
            </w:r>
            <w:r>
              <w:rPr>
                <w:b w:val="0"/>
              </w:rPr>
              <w:t xml:space="preserve">, schools should </w:t>
            </w:r>
            <w:r>
              <w:rPr>
                <w:b/>
              </w:rPr>
              <w:t>make it a priority to</w:t>
            </w:r>
            <w:r>
              <w:rPr>
                <w:b w:val="0"/>
              </w:rPr>
              <w:t xml:space="preserve"> add a daily exercise break to the timetable, </w:t>
            </w:r>
            <w:r>
              <w:rPr>
                <w:b/>
              </w:rPr>
              <w:t>thereby</w:t>
            </w:r>
            <w:r>
              <w:rPr>
                <w:b w:val="0"/>
              </w:rPr>
              <w:t xml:space="preserve"> nurturing a habit of staying active.</w:t>
            </w:r>
          </w:p>
        </w:tc>
      </w:tr>
    </w:tbl>
    <w:p>
      <w:r>
        <w:rPr>
          <w:b/>
          <w:color w:val="C00000"/>
        </w:rPr>
        <w:t xml:space="preserve">Teaching note: </w:t>
      </w:r>
      <w:r>
        <w:rPr>
          <w:b w:val="0"/>
          <w:color w:val="C00000"/>
        </w:rPr>
        <w:t>“make it a priority to” takes the BASE verb (“to add”, never “to adding”). “thereby + –ing” names the result and must follow logically from the action. Opening with “To + goal” replaces the vague “so that” and shows the marker your purpose in the first three words.</w:t>
      </w:r>
    </w:p>
    <w:p>
      <w:pPr>
        <w:spacing w:after="0"/>
      </w:pPr>
    </w:p>
    <w:tbl>
      <w:tblPr>
        <w:tblStyle w:val="TableGrid"/>
        <w:tblW w:type="auto" w:w="0"/>
        <w:jc w:val="left"/>
        <w:tblLayout w:type="fixed"/>
        <w:tblLook w:firstColumn="1" w:firstRow="1" w:lastColumn="0" w:lastRow="0" w:noHBand="0" w:noVBand="1" w:val="04A0"/>
        <w:tblLayout w:type="fixed"/>
      </w:tblPr>
      <w:tblGrid>
        <w:gridCol w:w="9638"/>
      </w:tblGrid>
      <w:tr>
        <w:tc>
          <w:tcPr>
            <w:tcW w:type="dxa" w:w="9638"/>
          </w:tcPr>
          <w:p>
            <w:r>
              <w:rPr>
                <w:b/>
              </w:rPr>
              <w:t>Pattern 3 — Shared Responsibility</w:t>
            </w:r>
          </w:p>
          <w:p>
            <w:r>
              <w:rPr>
                <w:b/>
              </w:rPr>
              <w:t xml:space="preserve">Target Formula: </w:t>
            </w:r>
            <w:r>
              <w:rPr>
                <w:b w:val="0"/>
              </w:rPr>
              <w:t>[Doer], in collaboration with [second party], should [verb phrase], thus [gerund phrase — the result].</w:t>
            </w:r>
          </w:p>
        </w:tc>
      </w:tr>
    </w:tbl>
    <w:p>
      <w:pPr>
        <w:spacing w:after="0"/>
      </w:pPr>
    </w:p>
    <w:tbl>
      <w:tblPr>
        <w:tblStyle w:val="TableGrid"/>
        <w:tblW w:type="auto" w:w="0"/>
        <w:jc w:val="left"/>
        <w:tblLayout w:type="fixed"/>
        <w:tblLook w:firstColumn="1" w:firstRow="1" w:lastColumn="0" w:lastRow="0" w:noHBand="0" w:noVBand="1" w:val="04A0"/>
        <w:tblLayout w:type="fixed"/>
      </w:tblPr>
      <w:tblGrid>
        <w:gridCol w:w="4819"/>
        <w:gridCol w:w="4819"/>
      </w:tblGrid>
      <w:tr>
        <w:tc>
          <w:tcPr>
            <w:tcW w:type="dxa" w:w="1548"/>
          </w:tcPr>
          <w:p>
            <w:r>
              <w:rPr>
                <w:b/>
              </w:rPr>
              <w:t>Level 3:</w:t>
            </w:r>
          </w:p>
        </w:tc>
        <w:tc>
          <w:tcPr>
            <w:tcW w:type="dxa" w:w="8090"/>
          </w:tcPr>
          <w:p>
            <w:r>
              <w:rPr>
                <w:b w:val="0"/>
              </w:rPr>
              <w:t>Parents can exercise with their children at weekends.</w:t>
            </w:r>
          </w:p>
        </w:tc>
      </w:tr>
      <w:tr>
        <w:tc>
          <w:tcPr>
            <w:tcW w:type="dxa" w:w="1548"/>
          </w:tcPr>
          <w:p>
            <w:r>
              <w:rPr>
                <w:b/>
              </w:rPr>
              <w:t>Level 5:</w:t>
            </w:r>
          </w:p>
        </w:tc>
        <w:tc>
          <w:tcPr>
            <w:tcW w:type="dxa" w:w="8090"/>
          </w:tcPr>
          <w:p>
            <w:r>
              <w:rPr>
                <w:b/>
              </w:rPr>
              <w:t>Parents, in collaboration with schools,</w:t>
            </w:r>
            <w:r>
              <w:rPr>
                <w:b w:val="0"/>
              </w:rPr>
              <w:t xml:space="preserve"> should set a positive example by exercising with their children at weekends, </w:t>
            </w:r>
            <w:r>
              <w:rPr>
                <w:b/>
              </w:rPr>
              <w:t>thus</w:t>
            </w:r>
            <w:r>
              <w:rPr>
                <w:b w:val="0"/>
              </w:rPr>
              <w:t xml:space="preserve"> fostering a culture of fitness at home.</w:t>
            </w:r>
          </w:p>
        </w:tc>
      </w:tr>
    </w:tbl>
    <w:p>
      <w:r>
        <w:rPr>
          <w:b/>
          <w:color w:val="C00000"/>
        </w:rPr>
        <w:t xml:space="preserve">Teaching note: </w:t>
      </w:r>
      <w:r>
        <w:rPr>
          <w:b w:val="0"/>
          <w:color w:val="C00000"/>
        </w:rPr>
        <w:t>“in collaboration with” = working together with. It is far stronger than “and” or “also” and shows the marker that you understand shared responsibility. The doer is swappable: “The government, in collaboration with district councils, should …”. “set a positive example by + –ing” adds the means; “thus + –ing” closes with the result.</w:t>
      </w:r>
    </w:p>
    <w:p>
      <w:pPr>
        <w:spacing w:after="0"/>
      </w:pPr>
    </w:p>
    <w:p>
      <w:pPr>
        <w:spacing w:before="160" w:after="120"/>
      </w:pPr>
      <w:r>
        <w:rPr>
          <w:b/>
        </w:rPr>
        <w:t>LEVEL 3 → LEVEL 5 VOCABULARY (physical fitness and awareness)</w:t>
      </w:r>
    </w:p>
    <w:tbl>
      <w:tblPr>
        <w:tblStyle w:val="TableGrid"/>
        <w:tblW w:type="auto" w:w="0"/>
        <w:jc w:val="left"/>
        <w:tblLayout w:type="fixed"/>
        <w:tblLook w:firstColumn="1" w:firstRow="1" w:lastColumn="0" w:lastRow="0" w:noHBand="0" w:noVBand="1" w:val="04A0"/>
        <w:tblLayout w:type="fixed"/>
      </w:tblPr>
      <w:tblGrid>
        <w:gridCol w:w="3213"/>
        <w:gridCol w:w="3213"/>
        <w:gridCol w:w="3213"/>
      </w:tblGrid>
      <w:tr>
        <w:tc>
          <w:tcPr>
            <w:tcW w:type="dxa" w:w="454"/>
            <w:shd w:val="clear" w:color="auto" w:fill="D9D9D9"/>
          </w:tcPr>
          <w:p>
            <w:r>
              <w:rPr>
                <w:b/>
              </w:rPr>
              <w:t>#</w:t>
            </w:r>
          </w:p>
        </w:tc>
        <w:tc>
          <w:tcPr>
            <w:tcW w:type="dxa" w:w="3402"/>
            <w:shd w:val="clear" w:color="auto" w:fill="D9D9D9"/>
          </w:tcPr>
          <w:p>
            <w:r>
              <w:rPr>
                <w:b/>
              </w:rPr>
              <w:t>Level 3 (what students write)</w:t>
            </w:r>
          </w:p>
        </w:tc>
        <w:tc>
          <w:tcPr>
            <w:tcW w:type="dxa" w:w="5783"/>
            <w:shd w:val="clear" w:color="auto" w:fill="D9D9D9"/>
          </w:tcPr>
          <w:p>
            <w:r>
              <w:rPr>
                <w:b/>
              </w:rPr>
              <w:t>Level 5 upgrade (key words in bold)</w:t>
            </w:r>
          </w:p>
        </w:tc>
      </w:tr>
      <w:tr>
        <w:tc>
          <w:tcPr>
            <w:tcW w:type="dxa" w:w="454"/>
          </w:tcPr>
          <w:p>
            <w:r>
              <w:rPr>
                <w:b/>
              </w:rPr>
              <w:t>1</w:t>
            </w:r>
          </w:p>
        </w:tc>
        <w:tc>
          <w:tcPr>
            <w:tcW w:type="dxa" w:w="3402"/>
          </w:tcPr>
          <w:p>
            <w:r>
              <w:rPr>
                <w:b w:val="0"/>
              </w:rPr>
              <w:t>make people healthier</w:t>
            </w:r>
          </w:p>
        </w:tc>
        <w:tc>
          <w:tcPr>
            <w:tcW w:type="dxa" w:w="5783"/>
          </w:tcPr>
          <w:p>
            <w:r>
              <w:rPr>
                <w:b/>
              </w:rPr>
              <w:t>enhance citizens’ physical well-being</w:t>
            </w:r>
          </w:p>
          <w:p>
            <w:r>
              <w:rPr>
                <w:i/>
              </w:rPr>
              <w:t>e.g. Regular exercise enhances citizens’ physical well-being.</w:t>
            </w:r>
          </w:p>
        </w:tc>
      </w:tr>
      <w:tr>
        <w:tc>
          <w:tcPr>
            <w:tcW w:type="dxa" w:w="454"/>
          </w:tcPr>
          <w:p>
            <w:r>
              <w:rPr>
                <w:b/>
              </w:rPr>
              <w:t>2</w:t>
            </w:r>
          </w:p>
        </w:tc>
        <w:tc>
          <w:tcPr>
            <w:tcW w:type="dxa" w:w="3402"/>
          </w:tcPr>
          <w:p>
            <w:r>
              <w:rPr>
                <w:b w:val="0"/>
              </w:rPr>
              <w:t>tell people about the importance of exercise</w:t>
            </w:r>
          </w:p>
        </w:tc>
        <w:tc>
          <w:tcPr>
            <w:tcW w:type="dxa" w:w="5783"/>
          </w:tcPr>
          <w:p>
            <w:r>
              <w:rPr>
                <w:b/>
              </w:rPr>
              <w:t>raise public awareness of the importance of regular exercise</w:t>
            </w:r>
          </w:p>
          <w:p>
            <w:r>
              <w:rPr>
                <w:i/>
              </w:rPr>
              <w:t>e.g. A city-wide campaign would raise public awareness of the importance of regular exercise.</w:t>
            </w:r>
          </w:p>
        </w:tc>
      </w:tr>
      <w:tr>
        <w:tc>
          <w:tcPr>
            <w:tcW w:type="dxa" w:w="454"/>
          </w:tcPr>
          <w:p>
            <w:r>
              <w:rPr>
                <w:b/>
              </w:rPr>
              <w:t>3</w:t>
            </w:r>
          </w:p>
        </w:tc>
        <w:tc>
          <w:tcPr>
            <w:tcW w:type="dxa" w:w="3402"/>
          </w:tcPr>
          <w:p>
            <w:r>
              <w:rPr>
                <w:b w:val="0"/>
              </w:rPr>
              <w:t>do exercise</w:t>
            </w:r>
          </w:p>
        </w:tc>
        <w:tc>
          <w:tcPr>
            <w:tcW w:type="dxa" w:w="5783"/>
          </w:tcPr>
          <w:p>
            <w:r>
              <w:rPr>
                <w:b/>
              </w:rPr>
              <w:t>take regular exercise / adopt an active lifestyle</w:t>
            </w:r>
          </w:p>
          <w:p>
            <w:r>
              <w:rPr>
                <w:i/>
              </w:rPr>
              <w:t>e.g. Citizens who take regular exercise are far less likely to fall ill.</w:t>
            </w:r>
          </w:p>
        </w:tc>
      </w:tr>
      <w:tr>
        <w:tc>
          <w:tcPr>
            <w:tcW w:type="dxa" w:w="454"/>
          </w:tcPr>
          <w:p>
            <w:r>
              <w:rPr>
                <w:b/>
              </w:rPr>
              <w:t>4</w:t>
            </w:r>
          </w:p>
        </w:tc>
        <w:tc>
          <w:tcPr>
            <w:tcW w:type="dxa" w:w="3402"/>
          </w:tcPr>
          <w:p>
            <w:r>
              <w:rPr>
                <w:b w:val="0"/>
              </w:rPr>
              <w:t>build more sports places</w:t>
            </w:r>
          </w:p>
        </w:tc>
        <w:tc>
          <w:tcPr>
            <w:tcW w:type="dxa" w:w="5783"/>
          </w:tcPr>
          <w:p>
            <w:r>
              <w:rPr>
                <w:b/>
              </w:rPr>
              <w:t>provide accessible sports facilities</w:t>
            </w:r>
          </w:p>
          <w:p>
            <w:r>
              <w:rPr>
                <w:i/>
              </w:rPr>
              <w:t>e.g. Accessible sports facilities encourage even the busiest workers to exercise.</w:t>
            </w:r>
          </w:p>
        </w:tc>
      </w:tr>
      <w:tr>
        <w:tc>
          <w:tcPr>
            <w:tcW w:type="dxa" w:w="454"/>
          </w:tcPr>
          <w:p>
            <w:r>
              <w:rPr>
                <w:b/>
              </w:rPr>
              <w:t>5</w:t>
            </w:r>
          </w:p>
        </w:tc>
        <w:tc>
          <w:tcPr>
            <w:tcW w:type="dxa" w:w="3402"/>
          </w:tcPr>
          <w:p>
            <w:r>
              <w:rPr>
                <w:b w:val="0"/>
              </w:rPr>
              <w:t>stop people from being lazy</w:t>
            </w:r>
          </w:p>
        </w:tc>
        <w:tc>
          <w:tcPr>
            <w:tcW w:type="dxa" w:w="5783"/>
          </w:tcPr>
          <w:p>
            <w:r>
              <w:rPr>
                <w:b/>
              </w:rPr>
              <w:t>combat sedentary lifestyles</w:t>
            </w:r>
          </w:p>
          <w:p>
            <w:r>
              <w:rPr>
                <w:i/>
              </w:rPr>
              <w:t>e.g. A morning workout scheme can combat sedentary lifestyles among office workers.</w:t>
            </w:r>
          </w:p>
        </w:tc>
      </w:tr>
      <w:tr>
        <w:tc>
          <w:tcPr>
            <w:tcW w:type="dxa" w:w="454"/>
          </w:tcPr>
          <w:p>
            <w:r>
              <w:rPr>
                <w:b/>
              </w:rPr>
              <w:t>6</w:t>
            </w:r>
          </w:p>
        </w:tc>
        <w:tc>
          <w:tcPr>
            <w:tcW w:type="dxa" w:w="3402"/>
          </w:tcPr>
          <w:p>
            <w:r>
              <w:rPr>
                <w:b w:val="0"/>
              </w:rPr>
              <w:t>make students care about their health</w:t>
            </w:r>
          </w:p>
        </w:tc>
        <w:tc>
          <w:tcPr>
            <w:tcW w:type="dxa" w:w="5783"/>
          </w:tcPr>
          <w:p>
            <w:r>
              <w:rPr>
                <w:b/>
              </w:rPr>
              <w:t>cultivate healthy habits</w:t>
            </w:r>
          </w:p>
          <w:p>
            <w:r>
              <w:rPr>
                <w:i/>
              </w:rPr>
              <w:t>e.g. Schools can cultivate healthy habits before bad ones take root.</w:t>
            </w:r>
          </w:p>
        </w:tc>
      </w:tr>
      <w:tr>
        <w:tc>
          <w:tcPr>
            <w:tcW w:type="dxa" w:w="454"/>
          </w:tcPr>
          <w:p>
            <w:r>
              <w:rPr>
                <w:b/>
              </w:rPr>
              <w:t>7</w:t>
            </w:r>
          </w:p>
        </w:tc>
        <w:tc>
          <w:tcPr>
            <w:tcW w:type="dxa" w:w="3402"/>
          </w:tcPr>
          <w:p>
            <w:r>
              <w:rPr>
                <w:b w:val="0"/>
              </w:rPr>
              <w:t>help people keep fit</w:t>
            </w:r>
          </w:p>
        </w:tc>
        <w:tc>
          <w:tcPr>
            <w:tcW w:type="dxa" w:w="5783"/>
          </w:tcPr>
          <w:p>
            <w:r>
              <w:rPr>
                <w:b/>
              </w:rPr>
              <w:t>enable citizens to keep fit</w:t>
            </w:r>
          </w:p>
          <w:p>
            <w:r>
              <w:rPr>
                <w:i/>
              </w:rPr>
              <w:t>e.g. Free fitness classes enable citizens to keep fit regardless of income.</w:t>
            </w:r>
          </w:p>
        </w:tc>
      </w:tr>
      <w:tr>
        <w:tc>
          <w:tcPr>
            <w:tcW w:type="dxa" w:w="454"/>
          </w:tcPr>
          <w:p>
            <w:r>
              <w:rPr>
                <w:b/>
              </w:rPr>
              <w:t>8</w:t>
            </w:r>
          </w:p>
        </w:tc>
        <w:tc>
          <w:tcPr>
            <w:tcW w:type="dxa" w:w="3402"/>
          </w:tcPr>
          <w:p>
            <w:r>
              <w:rPr>
                <w:b w:val="0"/>
              </w:rPr>
              <w:t>fewer people do exercise now</w:t>
            </w:r>
          </w:p>
        </w:tc>
        <w:tc>
          <w:tcPr>
            <w:tcW w:type="dxa" w:w="5783"/>
          </w:tcPr>
          <w:p>
            <w:r>
              <w:rPr>
                <w:b/>
              </w:rPr>
              <w:t>physical inactivity has become alarmingly common</w:t>
            </w:r>
          </w:p>
          <w:p>
            <w:r>
              <w:rPr>
                <w:i/>
              </w:rPr>
              <w:t>e.g. Physical inactivity has become alarmingly common among young office workers.</w:t>
            </w:r>
          </w:p>
        </w:tc>
      </w:tr>
    </w:tbl>
    <w:p>
      <w:pPr>
        <w:spacing w:after="0"/>
      </w:pPr>
    </w:p>
    <w:p>
      <w:pPr>
        <w:spacing w:before="160" w:after="120"/>
      </w:pPr>
      <w:r>
        <w:rPr>
          <w:b/>
        </w:rPr>
        <w:t>PART C: PRACTICE SETS (6 SETS)</w:t>
      </w:r>
    </w:p>
    <w:p>
      <w:r>
        <w:rPr>
          <w:b w:val="0"/>
        </w:rPr>
        <w:t>Upgrade each simple sentence with the pattern shown. The topics are different from the fitness topic in Part B. Sets 4–6 are more challenging: you must join the TWO simple sentences into ONE upgraded sentence.</w:t>
      </w:r>
    </w:p>
    <w:p>
      <w:pPr>
        <w:spacing w:before="120" w:after="80"/>
      </w:pPr>
      <w:r>
        <w:rPr>
          <w:b/>
        </w:rPr>
        <w:t>Set 1. Topic: Teenage Sleep Deprivation</w:t>
      </w:r>
    </w:p>
    <w:tbl>
      <w:tblPr>
        <w:tblStyle w:val="TableGrid"/>
        <w:tblW w:type="auto" w:w="0"/>
        <w:jc w:val="left"/>
        <w:tblLayout w:type="fixed"/>
        <w:tblLook w:firstColumn="1" w:firstRow="1" w:lastColumn="0" w:lastRow="0" w:noHBand="0" w:noVBand="1" w:val="04A0"/>
        <w:tblLayout w:type="fixed"/>
      </w:tblPr>
      <w:tblGrid>
        <w:gridCol w:w="4819"/>
        <w:gridCol w:w="4819"/>
      </w:tblGrid>
      <w:tr>
        <w:tc>
          <w:tcPr>
            <w:tcW w:type="dxa" w:w="1548"/>
          </w:tcPr>
          <w:p>
            <w:r>
              <w:rPr>
                <w:b/>
              </w:rPr>
              <w:t>Simple sentence</w:t>
            </w:r>
          </w:p>
        </w:tc>
        <w:tc>
          <w:tcPr>
            <w:tcW w:type="dxa" w:w="8090"/>
          </w:tcPr>
          <w:p>
            <w:r>
              <w:rPr>
                <w:b w:val="0"/>
              </w:rPr>
              <w:t>The government can tell teenagers about the importance of sleep.</w:t>
            </w:r>
          </w:p>
        </w:tc>
      </w:tr>
      <w:tr>
        <w:tc>
          <w:tcPr>
            <w:tcW w:type="dxa" w:w="1548"/>
          </w:tcPr>
          <w:p>
            <w:r>
              <w:rPr>
                <w:b/>
              </w:rPr>
              <w:t>Use Pattern 1</w:t>
            </w:r>
          </w:p>
        </w:tc>
        <w:tc>
          <w:tcPr>
            <w:tcW w:type="dxa" w:w="8090"/>
          </w:tcPr>
          <w:p>
            <w:r>
              <w:rPr>
                <w:b/>
                <w:color w:val="C00000"/>
              </w:rPr>
              <w:t>It is high time that the government raised teenagers’ awareness of the importance of sleep, so as to reverse the worrying trend of sleep deprivation among the young.</w:t>
            </w:r>
          </w:p>
        </w:tc>
      </w:tr>
    </w:tbl>
    <w:p>
      <w:pPr>
        <w:spacing w:after="160"/>
      </w:pPr>
      <w:r>
        <w:rPr>
          <w:b/>
          <w:color w:val="C00000"/>
        </w:rPr>
        <w:t xml:space="preserve">Key note: </w:t>
      </w:r>
      <w:r>
        <w:rPr>
          <w:b w:val="0"/>
          <w:color w:val="C00000"/>
        </w:rPr>
        <w:t>Accept any answer that keeps the formula and the logic — e.g. “launched a campaign to promote healthy sleeping habits, so as to …”.</w:t>
      </w:r>
    </w:p>
    <w:p>
      <w:pPr>
        <w:spacing w:before="120" w:after="80"/>
      </w:pPr>
      <w:r>
        <w:rPr>
          <w:b/>
        </w:rPr>
        <w:t>Set 2. Topic: Food Waste on Campus</w:t>
      </w:r>
    </w:p>
    <w:tbl>
      <w:tblPr>
        <w:tblStyle w:val="TableGrid"/>
        <w:tblW w:type="auto" w:w="0"/>
        <w:jc w:val="left"/>
        <w:tblLayout w:type="fixed"/>
        <w:tblLook w:firstColumn="1" w:firstRow="1" w:lastColumn="0" w:lastRow="0" w:noHBand="0" w:noVBand="1" w:val="04A0"/>
        <w:tblLayout w:type="fixed"/>
      </w:tblPr>
      <w:tblGrid>
        <w:gridCol w:w="4819"/>
        <w:gridCol w:w="4819"/>
      </w:tblGrid>
      <w:tr>
        <w:tc>
          <w:tcPr>
            <w:tcW w:type="dxa" w:w="1548"/>
          </w:tcPr>
          <w:p>
            <w:r>
              <w:rPr>
                <w:b/>
              </w:rPr>
              <w:t>Simple sentence</w:t>
            </w:r>
          </w:p>
        </w:tc>
        <w:tc>
          <w:tcPr>
            <w:tcW w:type="dxa" w:w="8090"/>
          </w:tcPr>
          <w:p>
            <w:r>
              <w:rPr>
                <w:b w:val="0"/>
              </w:rPr>
              <w:t>Schools can ask students not to waste food in the canteen.</w:t>
            </w:r>
          </w:p>
        </w:tc>
      </w:tr>
      <w:tr>
        <w:tc>
          <w:tcPr>
            <w:tcW w:type="dxa" w:w="1548"/>
          </w:tcPr>
          <w:p>
            <w:r>
              <w:rPr>
                <w:b/>
              </w:rPr>
              <w:t>Use Pattern 2</w:t>
            </w:r>
          </w:p>
        </w:tc>
        <w:tc>
          <w:tcPr>
            <w:tcW w:type="dxa" w:w="8090"/>
          </w:tcPr>
          <w:p>
            <w:r>
              <w:rPr>
                <w:b/>
                <w:color w:val="C00000"/>
              </w:rPr>
              <w:t>To cut food waste on campus, schools should make it a priority to offer smaller portions and free second helpings, thereby encouraging students to take only what they can finish.</w:t>
            </w:r>
          </w:p>
        </w:tc>
      </w:tr>
    </w:tbl>
    <w:p>
      <w:pPr>
        <w:spacing w:after="160"/>
      </w:pPr>
      <w:r>
        <w:rPr>
          <w:b/>
          <w:color w:val="C00000"/>
        </w:rPr>
        <w:t xml:space="preserve">Key note: </w:t>
      </w:r>
      <w:r>
        <w:rPr>
          <w:b w:val="0"/>
          <w:color w:val="C00000"/>
        </w:rPr>
        <w:t>Accept “To reduce food waste …” and any result clause that follows logically (“thereby cutting the amount of food sent to landfill”).</w:t>
      </w:r>
    </w:p>
    <w:p>
      <w:pPr>
        <w:spacing w:before="120" w:after="80"/>
      </w:pPr>
      <w:r>
        <w:rPr>
          <w:b/>
        </w:rPr>
        <w:t>Set 3. Topic: Cyberbullying</w:t>
      </w:r>
    </w:p>
    <w:tbl>
      <w:tblPr>
        <w:tblStyle w:val="TableGrid"/>
        <w:tblW w:type="auto" w:w="0"/>
        <w:jc w:val="left"/>
        <w:tblLayout w:type="fixed"/>
        <w:tblLook w:firstColumn="1" w:firstRow="1" w:lastColumn="0" w:lastRow="0" w:noHBand="0" w:noVBand="1" w:val="04A0"/>
        <w:tblLayout w:type="fixed"/>
      </w:tblPr>
      <w:tblGrid>
        <w:gridCol w:w="4819"/>
        <w:gridCol w:w="4819"/>
      </w:tblGrid>
      <w:tr>
        <w:tc>
          <w:tcPr>
            <w:tcW w:type="dxa" w:w="1548"/>
          </w:tcPr>
          <w:p>
            <w:r>
              <w:rPr>
                <w:b/>
              </w:rPr>
              <w:t>Simple sentence</w:t>
            </w:r>
          </w:p>
        </w:tc>
        <w:tc>
          <w:tcPr>
            <w:tcW w:type="dxa" w:w="8090"/>
          </w:tcPr>
          <w:p>
            <w:r>
              <w:rPr>
                <w:b w:val="0"/>
              </w:rPr>
              <w:t>Parents can talk to their children about cyberbullying.</w:t>
            </w:r>
          </w:p>
        </w:tc>
      </w:tr>
      <w:tr>
        <w:tc>
          <w:tcPr>
            <w:tcW w:type="dxa" w:w="1548"/>
          </w:tcPr>
          <w:p>
            <w:r>
              <w:rPr>
                <w:b/>
              </w:rPr>
              <w:t>Use Pattern 3</w:t>
            </w:r>
          </w:p>
        </w:tc>
        <w:tc>
          <w:tcPr>
            <w:tcW w:type="dxa" w:w="8090"/>
          </w:tcPr>
          <w:p>
            <w:r>
              <w:rPr>
                <w:b/>
                <w:color w:val="C00000"/>
              </w:rPr>
              <w:t>Parents, in collaboration with schools, should talk openly with their children about cyberbullying, thus building the trust that encourages victims to speak up.</w:t>
            </w:r>
          </w:p>
        </w:tc>
      </w:tr>
    </w:tbl>
    <w:p>
      <w:pPr>
        <w:spacing w:after="160"/>
      </w:pPr>
      <w:r>
        <w:rPr>
          <w:b/>
          <w:color w:val="C00000"/>
        </w:rPr>
        <w:t xml:space="preserve">Key note: </w:t>
      </w:r>
      <w:r>
        <w:rPr>
          <w:b w:val="0"/>
          <w:color w:val="C00000"/>
        </w:rPr>
        <w:t>Accept any sensible second party (the school, social workers) and any result clause that follows logically (“thus creating a safe space where problems can be reported”).</w:t>
      </w:r>
    </w:p>
    <w:p>
      <w:pPr>
        <w:spacing w:before="120" w:after="80"/>
      </w:pPr>
      <w:r>
        <w:rPr>
          <w:b/>
        </w:rPr>
        <w:t>Set 4. Topic: Youth Mental Health (more challenging)</w:t>
      </w:r>
    </w:p>
    <w:tbl>
      <w:tblPr>
        <w:tblStyle w:val="TableGrid"/>
        <w:tblW w:type="auto" w:w="0"/>
        <w:jc w:val="left"/>
        <w:tblLayout w:type="fixed"/>
        <w:tblLook w:firstColumn="1" w:firstRow="1" w:lastColumn="0" w:lastRow="0" w:noHBand="0" w:noVBand="1" w:val="04A0"/>
        <w:tblLayout w:type="fixed"/>
      </w:tblPr>
      <w:tblGrid>
        <w:gridCol w:w="4819"/>
        <w:gridCol w:w="4819"/>
      </w:tblGrid>
      <w:tr>
        <w:tc>
          <w:tcPr>
            <w:tcW w:type="dxa" w:w="1548"/>
          </w:tcPr>
          <w:p>
            <w:r>
              <w:rPr>
                <w:b/>
              </w:rPr>
              <w:t>Simple sentences</w:t>
            </w:r>
          </w:p>
        </w:tc>
        <w:tc>
          <w:tcPr>
            <w:tcW w:type="dxa" w:w="8090"/>
          </w:tcPr>
          <w:p>
            <w:r>
              <w:rPr>
                <w:b w:val="0"/>
              </w:rPr>
              <w:t>The government can spend more money on youth mental health services.</w:t>
            </w:r>
          </w:p>
        </w:tc>
      </w:tr>
      <w:tr>
        <w:tc>
          <w:tcPr>
            <w:tcW w:type="dxa" w:w="1548"/>
          </w:tcPr>
          <w:p>
            <w:r>
              <w:rPr>
                <w:b/>
              </w:rPr>
            </w:r>
          </w:p>
        </w:tc>
        <w:tc>
          <w:tcPr>
            <w:tcW w:type="dxa" w:w="8090"/>
          </w:tcPr>
          <w:p>
            <w:r>
              <w:rPr>
                <w:b w:val="0"/>
              </w:rPr>
              <w:t>Schools can also teach students how to manage stress.</w:t>
            </w:r>
          </w:p>
        </w:tc>
      </w:tr>
      <w:tr>
        <w:tc>
          <w:tcPr>
            <w:tcW w:type="dxa" w:w="1548"/>
          </w:tcPr>
          <w:p>
            <w:r>
              <w:rPr>
                <w:b/>
              </w:rPr>
              <w:t>Use Pattern 1</w:t>
            </w:r>
          </w:p>
        </w:tc>
        <w:tc>
          <w:tcPr>
            <w:tcW w:type="dxa" w:w="8090"/>
          </w:tcPr>
          <w:p>
            <w:r>
              <w:rPr>
                <w:b/>
                <w:color w:val="C00000"/>
              </w:rPr>
              <w:t>It is high time that the government invested more in youth mental health services, so as to ensure that schools can teach students how to manage stress.</w:t>
            </w:r>
          </w:p>
        </w:tc>
      </w:tr>
    </w:tbl>
    <w:p>
      <w:pPr>
        <w:spacing w:after="160"/>
      </w:pPr>
      <w:r>
        <w:rPr>
          <w:b/>
          <w:color w:val="C00000"/>
        </w:rPr>
        <w:t xml:space="preserve">Key note: </w:t>
      </w:r>
      <w:r>
        <w:rPr>
          <w:b w:val="0"/>
          <w:color w:val="C00000"/>
        </w:rPr>
        <w:t>Require BOTH ideas in ONE sentence. Also accept “… so as to make stress-management lessons possible in every school.”</w:t>
      </w:r>
    </w:p>
    <w:p>
      <w:pPr>
        <w:spacing w:before="120" w:after="80"/>
      </w:pPr>
      <w:r>
        <w:rPr>
          <w:b/>
        </w:rPr>
        <w:t>Set 5. Topic: Declining Reading Habits (more challenging)</w:t>
      </w:r>
    </w:p>
    <w:tbl>
      <w:tblPr>
        <w:tblStyle w:val="TableGrid"/>
        <w:tblW w:type="auto" w:w="0"/>
        <w:jc w:val="left"/>
        <w:tblLayout w:type="fixed"/>
        <w:tblLook w:firstColumn="1" w:firstRow="1" w:lastColumn="0" w:lastRow="0" w:noHBand="0" w:noVBand="1" w:val="04A0"/>
        <w:tblLayout w:type="fixed"/>
      </w:tblPr>
      <w:tblGrid>
        <w:gridCol w:w="4819"/>
        <w:gridCol w:w="4819"/>
      </w:tblGrid>
      <w:tr>
        <w:tc>
          <w:tcPr>
            <w:tcW w:type="dxa" w:w="1548"/>
          </w:tcPr>
          <w:p>
            <w:r>
              <w:rPr>
                <w:b/>
              </w:rPr>
              <w:t>Simple sentences</w:t>
            </w:r>
          </w:p>
        </w:tc>
        <w:tc>
          <w:tcPr>
            <w:tcW w:type="dxa" w:w="8090"/>
          </w:tcPr>
          <w:p>
            <w:r>
              <w:rPr>
                <w:b w:val="0"/>
              </w:rPr>
              <w:t>Schools can keep the library open after school.</w:t>
            </w:r>
          </w:p>
        </w:tc>
      </w:tr>
      <w:tr>
        <w:tc>
          <w:tcPr>
            <w:tcW w:type="dxa" w:w="1548"/>
          </w:tcPr>
          <w:p>
            <w:r>
              <w:rPr>
                <w:b/>
              </w:rPr>
            </w:r>
          </w:p>
        </w:tc>
        <w:tc>
          <w:tcPr>
            <w:tcW w:type="dxa" w:w="8090"/>
          </w:tcPr>
          <w:p>
            <w:r>
              <w:rPr>
                <w:b w:val="0"/>
              </w:rPr>
              <w:t>Students will then read more.</w:t>
            </w:r>
          </w:p>
        </w:tc>
      </w:tr>
      <w:tr>
        <w:tc>
          <w:tcPr>
            <w:tcW w:type="dxa" w:w="1548"/>
          </w:tcPr>
          <w:p>
            <w:r>
              <w:rPr>
                <w:b/>
              </w:rPr>
              <w:t>Use Pattern 2</w:t>
            </w:r>
          </w:p>
        </w:tc>
        <w:tc>
          <w:tcPr>
            <w:tcW w:type="dxa" w:w="8090"/>
          </w:tcPr>
          <w:p>
            <w:r>
              <w:rPr>
                <w:b/>
                <w:color w:val="C00000"/>
              </w:rPr>
              <w:t>To revive students’ interest in reading, schools should make it a priority to keep the library open after school, thereby giving students a quiet place to read every day.</w:t>
            </w:r>
          </w:p>
        </w:tc>
      </w:tr>
    </w:tbl>
    <w:p>
      <w:pPr>
        <w:spacing w:after="160"/>
      </w:pPr>
      <w:r>
        <w:rPr>
          <w:b/>
          <w:color w:val="C00000"/>
        </w:rPr>
        <w:t xml:space="preserve">Key note: </w:t>
      </w:r>
      <w:r>
        <w:rPr>
          <w:b w:val="0"/>
          <w:color w:val="C00000"/>
        </w:rPr>
        <w:t>Require the goal at the front and the result after “thereby”. A plain second sentence (“…. Students will then read more.”) scores nothing.</w:t>
      </w:r>
    </w:p>
    <w:p>
      <w:pPr>
        <w:spacing w:before="120" w:after="80"/>
      </w:pPr>
      <w:r>
        <w:rPr>
          <w:b/>
        </w:rPr>
        <w:t>Set 6. Topic: Care for the Elderly (more challenging)</w:t>
      </w:r>
    </w:p>
    <w:tbl>
      <w:tblPr>
        <w:tblStyle w:val="TableGrid"/>
        <w:tblW w:type="auto" w:w="0"/>
        <w:jc w:val="left"/>
        <w:tblLayout w:type="fixed"/>
        <w:tblLook w:firstColumn="1" w:firstRow="1" w:lastColumn="0" w:lastRow="0" w:noHBand="0" w:noVBand="1" w:val="04A0"/>
        <w:tblLayout w:type="fixed"/>
      </w:tblPr>
      <w:tblGrid>
        <w:gridCol w:w="4819"/>
        <w:gridCol w:w="4819"/>
      </w:tblGrid>
      <w:tr>
        <w:tc>
          <w:tcPr>
            <w:tcW w:type="dxa" w:w="1548"/>
          </w:tcPr>
          <w:p>
            <w:r>
              <w:rPr>
                <w:b/>
              </w:rPr>
              <w:t>Simple sentences</w:t>
            </w:r>
          </w:p>
        </w:tc>
        <w:tc>
          <w:tcPr>
            <w:tcW w:type="dxa" w:w="8090"/>
          </w:tcPr>
          <w:p>
            <w:r>
              <w:rPr>
                <w:b w:val="0"/>
              </w:rPr>
              <w:t>Teenagers can visit elderly neighbours with community centres.</w:t>
            </w:r>
          </w:p>
        </w:tc>
      </w:tr>
      <w:tr>
        <w:tc>
          <w:tcPr>
            <w:tcW w:type="dxa" w:w="1548"/>
          </w:tcPr>
          <w:p>
            <w:r>
              <w:rPr>
                <w:b/>
              </w:rPr>
            </w:r>
          </w:p>
        </w:tc>
        <w:tc>
          <w:tcPr>
            <w:tcW w:type="dxa" w:w="8090"/>
          </w:tcPr>
          <w:p>
            <w:r>
              <w:rPr>
                <w:b w:val="0"/>
              </w:rPr>
              <w:t>The elderly will feel less lonely.</w:t>
            </w:r>
          </w:p>
        </w:tc>
      </w:tr>
      <w:tr>
        <w:tc>
          <w:tcPr>
            <w:tcW w:type="dxa" w:w="1548"/>
          </w:tcPr>
          <w:p>
            <w:r>
              <w:rPr>
                <w:b/>
              </w:rPr>
              <w:t>Use Pattern 3</w:t>
            </w:r>
          </w:p>
        </w:tc>
        <w:tc>
          <w:tcPr>
            <w:tcW w:type="dxa" w:w="8090"/>
          </w:tcPr>
          <w:p>
            <w:r>
              <w:rPr>
                <w:b/>
                <w:color w:val="C00000"/>
              </w:rPr>
              <w:t>Teenagers, in collaboration with community centres, should organise regular visits to elderly neighbours, thus easing the loneliness that many of them face.</w:t>
            </w:r>
          </w:p>
        </w:tc>
      </w:tr>
    </w:tbl>
    <w:p>
      <w:pPr>
        <w:spacing w:after="160"/>
      </w:pPr>
      <w:r>
        <w:rPr>
          <w:b/>
          <w:color w:val="C00000"/>
        </w:rPr>
        <w:t xml:space="preserve">Key note: </w:t>
      </w:r>
      <w:r>
        <w:rPr>
          <w:b w:val="0"/>
          <w:color w:val="C00000"/>
        </w:rPr>
        <w:t>Watch the plural: “the elderly” is already plural — never “the elderlies”. Accept any result clause that follows logically from the visits.</w:t>
      </w:r>
    </w:p>
    <w:p>
      <w:pPr>
        <w:spacing w:before="160" w:after="120"/>
      </w:pPr>
      <w:r>
        <w:rPr>
          <w:b/>
        </w:rPr>
        <w:t>PART D: WRITING PRACTICE</w:t>
      </w:r>
    </w:p>
    <w:tbl>
      <w:tblPr>
        <w:tblStyle w:val="TableGrid"/>
        <w:tblW w:type="auto" w:w="0"/>
        <w:jc w:val="left"/>
        <w:tblLayout w:type="fixed"/>
        <w:tblLook w:firstColumn="1" w:firstRow="1" w:lastColumn="0" w:lastRow="0" w:noHBand="0" w:noVBand="1" w:val="04A0"/>
        <w:tblLayout w:type="fixed"/>
      </w:tblPr>
      <w:tblGrid>
        <w:gridCol w:w="9638"/>
      </w:tblGrid>
      <w:tr>
        <w:tc>
          <w:tcPr>
            <w:tcW w:type="dxa" w:w="9638"/>
            <w:shd w:val="clear" w:color="auto" w:fill="F2F2F2"/>
          </w:tcPr>
          <w:p>
            <w:r>
              <w:rPr>
                <w:b w:val="0"/>
              </w:rPr>
              <w:t>HKDSE Adapted Paper 2 Prompt:</w:t>
            </w:r>
          </w:p>
          <w:p>
            <w:r>
              <w:rPr>
                <w:b w:val="0"/>
              </w:rPr>
              <w:t>You are a Form 6 student. Your school is considering cutting one of the two weekly PE lessons so that F.6 students can have an extra period for examination preparation. Write a letter to the Principal expressing your opinion on this idea.</w:t>
            </w:r>
          </w:p>
        </w:tc>
      </w:tr>
    </w:tbl>
    <w:p>
      <w:pPr>
        <w:spacing w:before="160" w:after="80"/>
      </w:pPr>
      <w:r>
        <w:rPr>
          <w:b/>
        </w:rPr>
        <w:t>Task requirements:</w:t>
      </w:r>
    </w:p>
    <w:p>
      <w:pPr>
        <w:spacing w:after="40"/>
        <w:ind w:left="227"/>
      </w:pPr>
      <w:r>
        <w:rPr>
          <w:b w:val="0"/>
        </w:rPr>
        <w:t>Write a letter of about 250 words.</w:t>
      </w:r>
    </w:p>
    <w:p>
      <w:pPr>
        <w:spacing w:after="40"/>
        <w:ind w:left="227"/>
      </w:pPr>
      <w:r>
        <w:rPr>
          <w:b w:val="0"/>
        </w:rPr>
        <w:t>Use at least TWO of today’s three patterns, and underline every target structure you use.</w:t>
      </w:r>
    </w:p>
    <w:p>
      <w:pPr>
        <w:spacing w:after="40"/>
        <w:ind w:left="227"/>
      </w:pPr>
      <w:r>
        <w:rPr>
          <w:b w:val="0"/>
        </w:rPr>
        <w:t>Use the letter format: “Dear Principal,” at the start; “Yours sincerely,” and your name and class at the end.</w:t>
      </w:r>
    </w:p>
    <w:p>
      <w:pPr>
        <w:spacing w:after="40"/>
        <w:ind w:left="227"/>
      </w:pPr>
      <w:r>
        <w:rPr>
          <w:b w:val="0"/>
        </w:rPr>
        <w:t>Decide your stance first: you may oppose the change, or support it on one condition.</w:t>
      </w:r>
    </w:p>
    <w:p>
      <w:pPr>
        <w:spacing w:before="200" w:after="80"/>
      </w:pPr>
      <w:r>
        <w:rPr>
          <w:b/>
          <w:color w:val="C00000"/>
        </w:rPr>
        <w:t>Teacher’s planning guide</w:t>
      </w:r>
    </w:p>
    <w:tbl>
      <w:tblPr>
        <w:tblStyle w:val="TableGrid"/>
        <w:tblW w:type="auto" w:w="0"/>
        <w:jc w:val="left"/>
        <w:tblLayout w:type="fixed"/>
        <w:tblLook w:firstColumn="1" w:firstRow="1" w:lastColumn="0" w:lastRow="0" w:noHBand="0" w:noVBand="1" w:val="04A0"/>
        <w:tblLayout w:type="fixed"/>
      </w:tblPr>
      <w:tblGrid>
        <w:gridCol w:w="4819"/>
        <w:gridCol w:w="4819"/>
      </w:tblGrid>
      <w:tr>
        <w:tc>
          <w:tcPr>
            <w:tcW w:type="dxa" w:w="1548"/>
          </w:tcPr>
          <w:p>
            <w:r>
              <w:rPr>
                <w:b/>
              </w:rPr>
              <w:t>Introduction</w:t>
            </w:r>
          </w:p>
        </w:tc>
        <w:tc>
          <w:tcPr>
            <w:tcW w:type="dxa" w:w="8090"/>
          </w:tcPr>
          <w:p>
            <w:r>
              <w:rPr>
                <w:b w:val="0"/>
              </w:rPr>
              <w:t>The issue + your stance. Use a Lesson 1 pattern (e.g. “In recent times, the issue of … has sparked widespread concern across society.”).</w:t>
            </w:r>
          </w:p>
        </w:tc>
      </w:tr>
      <w:tr>
        <w:tc>
          <w:tcPr>
            <w:tcW w:type="dxa" w:w="1548"/>
          </w:tcPr>
          <w:p>
            <w:r>
              <w:rPr>
                <w:b/>
              </w:rPr>
              <w:t>Body 1</w:t>
            </w:r>
          </w:p>
        </w:tc>
        <w:tc>
          <w:tcPr>
            <w:tcW w:type="dxa" w:w="8090"/>
          </w:tcPr>
          <w:p>
            <w:r>
              <w:rPr>
                <w:b w:val="0"/>
              </w:rPr>
              <w:t>Why the PE lesson matters. A Lesson 2 pattern fits here (“… offers students a golden opportunity to …, paving the way for …”), followed by an Admittedly / Nevertheless counter-argument.</w:t>
            </w:r>
          </w:p>
        </w:tc>
      </w:tr>
      <w:tr>
        <w:tc>
          <w:tcPr>
            <w:tcW w:type="dxa" w:w="1548"/>
          </w:tcPr>
          <w:p>
            <w:r>
              <w:rPr>
                <w:b/>
              </w:rPr>
              <w:t>Body 2</w:t>
            </w:r>
          </w:p>
        </w:tc>
        <w:tc>
          <w:tcPr>
            <w:tcW w:type="dxa" w:w="8090"/>
          </w:tcPr>
          <w:p>
            <w:r>
              <w:rPr>
                <w:b w:val="0"/>
              </w:rPr>
              <w:t>Your alternative solution — this is where today’s three patterns do the work. Give the school something it can actually do.</w:t>
            </w:r>
          </w:p>
        </w:tc>
      </w:tr>
      <w:tr>
        <w:tc>
          <w:tcPr>
            <w:tcW w:type="dxa" w:w="1548"/>
          </w:tcPr>
          <w:p>
            <w:r>
              <w:rPr>
                <w:b/>
              </w:rPr>
              <w:t>Conclusion</w:t>
            </w:r>
          </w:p>
        </w:tc>
        <w:tc>
          <w:tcPr>
            <w:tcW w:type="dxa" w:w="8090"/>
          </w:tcPr>
          <w:p>
            <w:r>
              <w:rPr>
                <w:b w:val="0"/>
              </w:rPr>
              <w:t>One sentence of recommendation, no new ideas.</w:t>
            </w:r>
          </w:p>
        </w:tc>
      </w:tr>
    </w:tbl>
    <w:p>
      <w:pPr>
        <w:spacing w:before="200" w:after="80"/>
      </w:pPr>
      <w:r>
        <w:rPr>
          <w:b/>
        </w:rPr>
        <w:t>Teacher’s model answer (opposing the change, 239 words)</w:t>
      </w:r>
    </w:p>
    <w:p>
      <w:pPr>
        <w:spacing w:after="120"/>
      </w:pPr>
      <w:r>
        <w:rPr>
          <w:b w:val="0"/>
        </w:rPr>
        <w:t>Dear Principal,</w:t>
      </w:r>
      <w:r>
        <w:rPr>
          <w:b w:val="0"/>
          <w:color w:val="C00000"/>
        </w:rPr>
        <w:t xml:space="preserve">  [Salutation]</w:t>
      </w:r>
    </w:p>
    <w:p>
      <w:pPr>
        <w:spacing w:after="120"/>
      </w:pPr>
      <w:r>
        <w:rPr>
          <w:b w:val="0"/>
        </w:rPr>
        <w:t>In recent times, the issue of students’ physical well-being has sparked widespread concern across society. I am writing to express my opposition to the proposal of cutting one of our two weekly PE lessons in favour of an extra examination preparation period.</w:t>
      </w:r>
      <w:r>
        <w:rPr>
          <w:b w:val="0"/>
          <w:color w:val="C00000"/>
        </w:rPr>
        <w:t xml:space="preserve">  [Introduction — Lesson 1, Pattern 3 + stance]</w:t>
      </w:r>
    </w:p>
    <w:p>
      <w:pPr>
        <w:spacing w:after="120"/>
      </w:pPr>
      <w:r>
        <w:rPr>
          <w:b w:val="0"/>
        </w:rPr>
        <w:t>Undoubtedly, F.6 students would welcome more time for revision. Nevertheless, PE lessons offer us a golden opportunity to recharge after long hours of study, paving the way for sharper concentration in class. Admittedly, an extra period of examination practice sounds attractive. Nevertheless, replacing physical activity with yet more revision is short-sighted, as a tired mind absorbs far less than a refreshed one.</w:t>
      </w:r>
      <w:r>
        <w:rPr>
          <w:b w:val="0"/>
          <w:color w:val="C00000"/>
        </w:rPr>
        <w:t xml:space="preserve">  [Body 1 — Lesson 2, Pattern 1 + Pattern 4 (concede, then rebut)]</w:t>
      </w:r>
    </w:p>
    <w:p>
      <w:pPr>
        <w:spacing w:after="120"/>
      </w:pPr>
      <w:r>
        <w:rPr>
          <w:b w:val="0"/>
        </w:rPr>
        <w:t>Instead of sacrificing our PE lesson, may I propose two practical alternatives? To free up time for examination preparation, the school should make it a priority to shorten the morning assembly and the daily roll-call, thereby recovering a full period every week. It is also high time that the school reviewed the examination timetable, so as to spread the pressure of mock papers more evenly across the year. Parents, in collaboration with the school, should also encourage their children to spend half an hour on simple exercise at home, thus turning fitness into a daily habit rather than a single weekly lesson.</w:t>
      </w:r>
      <w:r>
        <w:rPr>
          <w:b w:val="0"/>
          <w:color w:val="C00000"/>
        </w:rPr>
        <w:t xml:space="preserve">  [Body 2 — today’s Patterns 2, 1 and 3 in one paragraph]</w:t>
      </w:r>
    </w:p>
    <w:p>
      <w:pPr>
        <w:spacing w:after="120"/>
      </w:pPr>
      <w:r>
        <w:rPr>
          <w:b w:val="0"/>
        </w:rPr>
        <w:t>Physical fitness and academic performance are not rivals. Please reconsider this proposal, so that F.6 students can prepare for the public examination without damaging their health.</w:t>
      </w:r>
      <w:r>
        <w:rPr>
          <w:b w:val="0"/>
          <w:color w:val="C00000"/>
        </w:rPr>
        <w:t xml:space="preserve">  [Conclusion — recommendation]</w:t>
      </w:r>
    </w:p>
    <w:p>
      <w:pPr>
        <w:spacing w:after="120"/>
      </w:pPr>
      <w:r>
        <w:rPr>
          <w:b w:val="0"/>
        </w:rPr>
        <w:t>Yours sincerely,</w:t>
        <w:br/>
        <w:t>Chris Wong (6B)</w:t>
      </w:r>
      <w:r>
        <w:rPr>
          <w:b w:val="0"/>
          <w:color w:val="C00000"/>
        </w:rPr>
        <w:t xml:space="preserve">  [Closing]</w:t>
      </w:r>
    </w:p>
    <w:p>
      <w:pPr>
        <w:spacing w:before="200" w:after="80"/>
      </w:pPr>
      <w:r>
        <w:rPr>
          <w:b/>
        </w:rPr>
        <w:t>Teacher’s model answer B (supporting the change, on one condition — 213 words)</w:t>
      </w:r>
    </w:p>
    <w:p>
      <w:pPr>
        <w:spacing w:after="120"/>
      </w:pPr>
      <w:r>
        <w:rPr>
          <w:b w:val="0"/>
        </w:rPr>
        <w:t>Dear Principal,</w:t>
      </w:r>
      <w:r>
        <w:rPr>
          <w:b w:val="0"/>
          <w:color w:val="C00000"/>
        </w:rPr>
        <w:t xml:space="preserve">  [Salutation]</w:t>
      </w:r>
    </w:p>
    <w:p>
      <w:pPr>
        <w:spacing w:after="120"/>
      </w:pPr>
      <w:r>
        <w:rPr>
          <w:b w:val="0"/>
        </w:rPr>
        <w:t>In recent times, the issue of examination pressure on F.6 students has sparked widespread concern across society. I am writing to support the proposal, on the condition that the school protects our health at the same time.</w:t>
      </w:r>
      <w:r>
        <w:rPr>
          <w:b w:val="0"/>
          <w:color w:val="C00000"/>
        </w:rPr>
        <w:t xml:space="preserve">  [Introduction — Lesson 1, Pattern 3 + stance]</w:t>
      </w:r>
    </w:p>
    <w:p>
      <w:pPr>
        <w:spacing w:after="120"/>
      </w:pPr>
      <w:r>
        <w:rPr>
          <w:b w:val="0"/>
        </w:rPr>
        <w:t>Admittedly, cutting a PE lesson reduces the time we spend exercising. Nevertheless, the final year of study demands every minute of preparation, as the competition for university places has never been keener. From the perspective of F.6 students, an extra examination preparation period allows us to practise past papers under a teacher’s supervision, which in turn reduces the anxiety of revising alone at home.</w:t>
      </w:r>
      <w:r>
        <w:rPr>
          <w:b w:val="0"/>
          <w:color w:val="C00000"/>
        </w:rPr>
        <w:t xml:space="preserve">  [Body 1 — Lesson 2, Pattern 4 + Pattern 2]</w:t>
      </w:r>
    </w:p>
    <w:p>
      <w:pPr>
        <w:spacing w:after="120"/>
      </w:pPr>
      <w:r>
        <w:rPr>
          <w:b w:val="0"/>
        </w:rPr>
        <w:t>To make up for the lost lesson, it is high time that the school offered a supervised morning workout before classes, so as to keep our bodies active without touching the teaching timetable. Teachers should also make it a priority to set homework that leaves room for exercise, thereby preventing revision from swallowing the whole day, and parents, in collaboration with the school, should monitor our daily routine, thus ensuring that an extra study period does not become an extra hour in front of a screen.</w:t>
      </w:r>
      <w:r>
        <w:rPr>
          <w:b w:val="0"/>
          <w:color w:val="C00000"/>
        </w:rPr>
        <w:t xml:space="preserve">  [Body 2 — today’s Patterns 1, 2 and 3 in one paragraph]</w:t>
      </w:r>
    </w:p>
    <w:p>
      <w:pPr>
        <w:spacing w:after="120"/>
      </w:pPr>
      <w:r>
        <w:rPr>
          <w:b w:val="0"/>
        </w:rPr>
        <w:t>I hope the school will consider this compromise, which serves the examination and our health at the same time.</w:t>
      </w:r>
      <w:r>
        <w:rPr>
          <w:b w:val="0"/>
          <w:color w:val="C00000"/>
        </w:rPr>
        <w:t xml:space="preserve">  [Conclusion — recommendation]</w:t>
      </w:r>
    </w:p>
    <w:p>
      <w:pPr>
        <w:spacing w:after="120"/>
      </w:pPr>
      <w:r>
        <w:rPr>
          <w:b w:val="0"/>
        </w:rPr>
        <w:t>Yours sincerely,</w:t>
        <w:br/>
        <w:t>Chris Wong (6B)</w:t>
      </w:r>
      <w:r>
        <w:rPr>
          <w:b w:val="0"/>
          <w:color w:val="C00000"/>
        </w:rPr>
        <w:t xml:space="preserve">  [Closing]</w:t>
      </w:r>
    </w:p>
    <w:p>
      <w:pPr>
        <w:spacing w:before="200" w:after="80"/>
      </w:pPr>
      <w:r>
        <w:rPr>
          <w:b/>
          <w:color w:val="C00000"/>
        </w:rPr>
        <w:t>What to reward when marking</w:t>
      </w:r>
    </w:p>
    <w:p>
      <w:pPr>
        <w:spacing w:after="40"/>
        <w:ind w:left="227"/>
      </w:pPr>
      <w:r>
        <w:rPr>
          <w:b w:val="0"/>
        </w:rPr>
        <w:t>Content: a clear stance on the cut itself, plus at least one concrete, realistic alternative (timetable adjustment, morning workout) — not just “PE is good for us”.</w:t>
      </w:r>
    </w:p>
    <w:p>
      <w:pPr>
        <w:spacing w:after="40"/>
        <w:ind w:left="227"/>
      </w:pPr>
      <w:r>
        <w:rPr>
          <w:b w:val="0"/>
        </w:rPr>
        <w:t>Language: the target structures used accurately; formal verbs instead of “help” and “make” (establish, invest in, cultivate, combat); no “I think it is good / bad”.</w:t>
      </w:r>
    </w:p>
    <w:p>
      <w:pPr>
        <w:spacing w:after="40"/>
        <w:ind w:left="227"/>
      </w:pPr>
      <w:r>
        <w:rPr>
          <w:b w:val="0"/>
        </w:rPr>
        <w:t>Organisation: letter format complete (Dear Principal / Yours sincerely / name and class), one main idea per paragraph, and linkers between paragraphs.</w:t>
      </w:r>
    </w:p>
    <w:p>
      <w:pPr>
        <w:spacing w:before="160" w:after="80"/>
      </w:pPr>
      <w:r>
        <w:rPr>
          <w:b/>
          <w:color w:val="C00000"/>
        </w:rPr>
        <w:t>Common errors to watch when marking</w:t>
      </w:r>
    </w:p>
    <w:p>
      <w:pPr>
        <w:spacing w:after="40"/>
        <w:ind w:left="227"/>
      </w:pPr>
      <w:r>
        <w:rPr>
          <w:b w:val="0"/>
        </w:rPr>
        <w:t>“It is high time that the government promote …” → the past tense is needed (“promoted”).</w:t>
      </w:r>
    </w:p>
    <w:p>
      <w:pPr>
        <w:spacing w:after="40"/>
        <w:ind w:left="227"/>
      </w:pPr>
      <w:r>
        <w:rPr>
          <w:b w:val="0"/>
        </w:rPr>
        <w:t>“make it a priority to + –ing” → base verb only (“to add”).</w:t>
      </w:r>
    </w:p>
    <w:p>
      <w:pPr>
        <w:spacing w:after="40"/>
        <w:ind w:left="227"/>
      </w:pPr>
      <w:r>
        <w:rPr>
          <w:b w:val="0"/>
        </w:rPr>
        <w:t>“thus / thereby + verb” → the –ing form is needed (“thus fostering”, “thereby nurturing”).</w:t>
      </w:r>
    </w:p>
    <w:p>
      <w:pPr>
        <w:spacing w:after="40"/>
        <w:ind w:left="227"/>
      </w:pPr>
      <w:r>
        <w:rPr>
          <w:b w:val="0"/>
        </w:rPr>
        <w:t>“so as to + –ing” → base verb (“so as to make”).</w:t>
      </w:r>
    </w:p>
    <w:p>
      <w:pPr>
        <w:spacing w:after="40"/>
        <w:ind w:left="227"/>
      </w:pPr>
      <w:r>
        <w:rPr>
          <w:b w:val="0"/>
        </w:rPr>
        <w:t>“in collaboration with” used as a verb (“parents collaborate with schools should…”) → keep it as a phrase between the subject and “should”.</w:t>
      </w:r>
    </w:p>
    <w:p>
      <w:pPr>
        <w:spacing w:after="40"/>
        <w:ind w:left="227"/>
      </w:pPr>
      <w:r>
        <w:rPr>
          <w:b w:val="0"/>
        </w:rPr>
        <w:t>“the elderly” treated as singular (“the elderlies”, “the elderly feels”).</w:t>
      </w:r>
    </w:p>
    <w:sectPr w:rsidR="00FC693F" w:rsidRPr="0006063C" w:rsidSect="00034616">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200"/>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