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rPr>
        <w:t>F6 English SP — Lesson 4 (DSE 2013 Part A)</w:t>
      </w:r>
    </w:p>
    <w:p>
      <w:pPr>
        <w:spacing w:after="160"/>
      </w:pPr>
      <w:r>
        <w:rPr>
          <w:b/>
          <w:sz w:val="26"/>
        </w:rPr>
        <w:t>TEACHER'S VERSION &amp; ANSWER KEY WITH EXPLANATIONS</w:t>
      </w:r>
    </w:p>
    <w:p>
      <w:pPr>
        <w:spacing w:after="80"/>
      </w:pPr>
      <w:r>
        <w:rPr>
          <w:b/>
          <w:sz w:val="28"/>
        </w:rPr>
        <w:t>Part A: Key Vocabulary (Answer Key)</w:t>
      </w:r>
    </w:p>
    <w:tbl>
      <w:tblPr>
        <w:tblStyle w:val="TableGrid"/>
        <w:tblW w:type="auto" w:w="0"/>
        <w:tblLook w:firstColumn="1" w:firstRow="1" w:lastColumn="0" w:lastRow="0" w:noHBand="0" w:noVBand="1" w:val="04A0"/>
      </w:tblPr>
      <w:tblGrid>
        <w:gridCol w:w="1921"/>
        <w:gridCol w:w="1921"/>
        <w:gridCol w:w="1921"/>
        <w:gridCol w:w="1921"/>
        <w:gridCol w:w="1921"/>
      </w:tblGrid>
      <w:tr>
        <w:tc>
          <w:tcPr>
            <w:tcW w:type="dxa" w:w="1921"/>
          </w:tcPr>
          <w:p>
            <w:r/>
            <w:r>
              <w:rPr>
                <w:b/>
                <w:sz w:val="22"/>
              </w:rPr>
              <w:t>No.</w:t>
            </w:r>
          </w:p>
        </w:tc>
        <w:tc>
          <w:tcPr>
            <w:tcW w:type="dxa" w:w="1921"/>
          </w:tcPr>
          <w:p>
            <w:r/>
            <w:r>
              <w:rPr>
                <w:b/>
                <w:sz w:val="22"/>
              </w:rPr>
              <w:t>Word / Phrase</w:t>
            </w:r>
          </w:p>
        </w:tc>
        <w:tc>
          <w:tcPr>
            <w:tcW w:type="dxa" w:w="1921"/>
          </w:tcPr>
          <w:p>
            <w:r/>
            <w:r>
              <w:rPr>
                <w:b/>
                <w:sz w:val="22"/>
              </w:rPr>
              <w:t>Line</w:t>
            </w:r>
          </w:p>
        </w:tc>
        <w:tc>
          <w:tcPr>
            <w:tcW w:type="dxa" w:w="1921"/>
          </w:tcPr>
          <w:p>
            <w:r/>
            <w:r>
              <w:rPr>
                <w:b/>
                <w:sz w:val="22"/>
              </w:rPr>
              <w:t>Answer</w:t>
            </w:r>
          </w:p>
        </w:tc>
        <w:tc>
          <w:tcPr>
            <w:tcW w:type="dxa" w:w="1921"/>
          </w:tcPr>
          <w:p>
            <w:r/>
            <w:r>
              <w:rPr>
                <w:b/>
                <w:sz w:val="22"/>
              </w:rPr>
              <w:t>Definition</w:t>
            </w:r>
          </w:p>
        </w:tc>
      </w:tr>
      <w:tr>
        <w:tc>
          <w:tcPr>
            <w:tcW w:type="dxa" w:w="1921"/>
          </w:tcPr>
          <w:p>
            <w:r/>
            <w:r>
              <w:rPr>
                <w:b w:val="0"/>
                <w:sz w:val="22"/>
              </w:rPr>
              <w:t>1</w:t>
            </w:r>
          </w:p>
        </w:tc>
        <w:tc>
          <w:tcPr>
            <w:tcW w:type="dxa" w:w="1921"/>
          </w:tcPr>
          <w:p>
            <w:r/>
            <w:r>
              <w:rPr>
                <w:b w:val="0"/>
                <w:sz w:val="22"/>
              </w:rPr>
              <w:t>spectacle</w:t>
            </w:r>
          </w:p>
        </w:tc>
        <w:tc>
          <w:tcPr>
            <w:tcW w:type="dxa" w:w="1921"/>
          </w:tcPr>
          <w:p>
            <w:r/>
            <w:r>
              <w:rPr>
                <w:b w:val="0"/>
                <w:sz w:val="22"/>
              </w:rPr>
              <w:t>Text 1, line 1</w:t>
            </w:r>
          </w:p>
        </w:tc>
        <w:tc>
          <w:tcPr>
            <w:tcW w:type="dxa" w:w="1921"/>
          </w:tcPr>
          <w:p>
            <w:r/>
            <w:r>
              <w:rPr>
                <w:b/>
                <w:sz w:val="22"/>
              </w:rPr>
              <w:t>C</w:t>
            </w:r>
          </w:p>
        </w:tc>
        <w:tc>
          <w:tcPr>
            <w:tcW w:type="dxa" w:w="1921"/>
          </w:tcPr>
          <w:p>
            <w:r/>
            <w:r>
              <w:rPr>
                <w:b w:val="0"/>
                <w:sz w:val="22"/>
              </w:rPr>
              <w:t>an exciting show or scene that you watch</w:t>
            </w:r>
          </w:p>
        </w:tc>
      </w:tr>
      <w:tr>
        <w:tc>
          <w:tcPr>
            <w:tcW w:type="dxa" w:w="1921"/>
          </w:tcPr>
          <w:p>
            <w:r/>
            <w:r>
              <w:rPr>
                <w:b w:val="0"/>
                <w:sz w:val="22"/>
              </w:rPr>
              <w:t>2</w:t>
            </w:r>
          </w:p>
        </w:tc>
        <w:tc>
          <w:tcPr>
            <w:tcW w:type="dxa" w:w="1921"/>
          </w:tcPr>
          <w:p>
            <w:r/>
            <w:r>
              <w:rPr>
                <w:b w:val="0"/>
                <w:sz w:val="22"/>
              </w:rPr>
              <w:t>buried</w:t>
            </w:r>
          </w:p>
        </w:tc>
        <w:tc>
          <w:tcPr>
            <w:tcW w:type="dxa" w:w="1921"/>
          </w:tcPr>
          <w:p>
            <w:r/>
            <w:r>
              <w:rPr>
                <w:b w:val="0"/>
                <w:sz w:val="22"/>
              </w:rPr>
              <w:t>Text 1, line 2</w:t>
            </w:r>
          </w:p>
        </w:tc>
        <w:tc>
          <w:tcPr>
            <w:tcW w:type="dxa" w:w="1921"/>
          </w:tcPr>
          <w:p>
            <w:r/>
            <w:r>
              <w:rPr>
                <w:b/>
                <w:sz w:val="22"/>
              </w:rPr>
              <w:t>E</w:t>
            </w:r>
          </w:p>
        </w:tc>
        <w:tc>
          <w:tcPr>
            <w:tcW w:type="dxa" w:w="1921"/>
          </w:tcPr>
          <w:p>
            <w:r/>
            <w:r>
              <w:rPr>
                <w:b w:val="0"/>
                <w:sz w:val="22"/>
              </w:rPr>
              <w:t>put underground; covered with earth</w:t>
            </w:r>
          </w:p>
        </w:tc>
      </w:tr>
      <w:tr>
        <w:tc>
          <w:tcPr>
            <w:tcW w:type="dxa" w:w="1921"/>
          </w:tcPr>
          <w:p>
            <w:r/>
            <w:r>
              <w:rPr>
                <w:b w:val="0"/>
                <w:sz w:val="22"/>
              </w:rPr>
              <w:t>3</w:t>
            </w:r>
          </w:p>
        </w:tc>
        <w:tc>
          <w:tcPr>
            <w:tcW w:type="dxa" w:w="1921"/>
          </w:tcPr>
          <w:p>
            <w:r/>
            <w:r>
              <w:rPr>
                <w:b w:val="0"/>
                <w:sz w:val="22"/>
              </w:rPr>
              <w:t>emperor</w:t>
            </w:r>
          </w:p>
        </w:tc>
        <w:tc>
          <w:tcPr>
            <w:tcW w:type="dxa" w:w="1921"/>
          </w:tcPr>
          <w:p>
            <w:r/>
            <w:r>
              <w:rPr>
                <w:b w:val="0"/>
                <w:sz w:val="22"/>
              </w:rPr>
              <w:t>Text 1, line 3</w:t>
            </w:r>
          </w:p>
        </w:tc>
        <w:tc>
          <w:tcPr>
            <w:tcW w:type="dxa" w:w="1921"/>
          </w:tcPr>
          <w:p>
            <w:r/>
            <w:r>
              <w:rPr>
                <w:b/>
                <w:sz w:val="22"/>
              </w:rPr>
              <w:t>A</w:t>
            </w:r>
          </w:p>
        </w:tc>
        <w:tc>
          <w:tcPr>
            <w:tcW w:type="dxa" w:w="1921"/>
          </w:tcPr>
          <w:p>
            <w:r/>
            <w:r>
              <w:rPr>
                <w:b w:val="0"/>
                <w:sz w:val="22"/>
              </w:rPr>
              <w:t>a king who rules a large country (an empire)</w:t>
            </w:r>
          </w:p>
        </w:tc>
      </w:tr>
      <w:tr>
        <w:tc>
          <w:tcPr>
            <w:tcW w:type="dxa" w:w="1921"/>
          </w:tcPr>
          <w:p>
            <w:r/>
            <w:r>
              <w:rPr>
                <w:b w:val="0"/>
                <w:sz w:val="22"/>
              </w:rPr>
              <w:t>4</w:t>
            </w:r>
          </w:p>
        </w:tc>
        <w:tc>
          <w:tcPr>
            <w:tcW w:type="dxa" w:w="1921"/>
          </w:tcPr>
          <w:p>
            <w:r/>
            <w:r>
              <w:rPr>
                <w:b w:val="0"/>
                <w:sz w:val="22"/>
              </w:rPr>
              <w:t>archaeologists</w:t>
            </w:r>
          </w:p>
        </w:tc>
        <w:tc>
          <w:tcPr>
            <w:tcW w:type="dxa" w:w="1921"/>
          </w:tcPr>
          <w:p>
            <w:r/>
            <w:r>
              <w:rPr>
                <w:b w:val="0"/>
                <w:sz w:val="22"/>
              </w:rPr>
              <w:t>Text 1, line 3</w:t>
            </w:r>
          </w:p>
        </w:tc>
        <w:tc>
          <w:tcPr>
            <w:tcW w:type="dxa" w:w="1921"/>
          </w:tcPr>
          <w:p>
            <w:r/>
            <w:r>
              <w:rPr>
                <w:b/>
                <w:sz w:val="22"/>
              </w:rPr>
              <w:t>J</w:t>
            </w:r>
          </w:p>
        </w:tc>
        <w:tc>
          <w:tcPr>
            <w:tcW w:type="dxa" w:w="1921"/>
          </w:tcPr>
          <w:p>
            <w:r/>
            <w:r>
              <w:rPr>
                <w:b w:val="0"/>
                <w:sz w:val="22"/>
              </w:rPr>
              <w:t>scientists who study old things found in the ground</w:t>
            </w:r>
          </w:p>
        </w:tc>
      </w:tr>
      <w:tr>
        <w:tc>
          <w:tcPr>
            <w:tcW w:type="dxa" w:w="1921"/>
          </w:tcPr>
          <w:p>
            <w:r/>
            <w:r>
              <w:rPr>
                <w:b w:val="0"/>
                <w:sz w:val="22"/>
              </w:rPr>
              <w:t>5</w:t>
            </w:r>
          </w:p>
        </w:tc>
        <w:tc>
          <w:tcPr>
            <w:tcW w:type="dxa" w:w="1921"/>
          </w:tcPr>
          <w:p>
            <w:r/>
            <w:r>
              <w:rPr>
                <w:b w:val="0"/>
                <w:sz w:val="22"/>
              </w:rPr>
              <w:t>fragments</w:t>
            </w:r>
          </w:p>
        </w:tc>
        <w:tc>
          <w:tcPr>
            <w:tcW w:type="dxa" w:w="1921"/>
          </w:tcPr>
          <w:p>
            <w:r/>
            <w:r>
              <w:rPr>
                <w:b w:val="0"/>
                <w:sz w:val="22"/>
              </w:rPr>
              <w:t>Text 1, line 22</w:t>
            </w:r>
          </w:p>
        </w:tc>
        <w:tc>
          <w:tcPr>
            <w:tcW w:type="dxa" w:w="1921"/>
          </w:tcPr>
          <w:p>
            <w:r/>
            <w:r>
              <w:rPr>
                <w:b/>
                <w:sz w:val="22"/>
              </w:rPr>
              <w:t>B</w:t>
            </w:r>
          </w:p>
        </w:tc>
        <w:tc>
          <w:tcPr>
            <w:tcW w:type="dxa" w:w="1921"/>
          </w:tcPr>
          <w:p>
            <w:r/>
            <w:r>
              <w:rPr>
                <w:b w:val="0"/>
                <w:sz w:val="22"/>
              </w:rPr>
              <w:t>small broken pieces of something</w:t>
            </w:r>
          </w:p>
        </w:tc>
      </w:tr>
      <w:tr>
        <w:tc>
          <w:tcPr>
            <w:tcW w:type="dxa" w:w="1921"/>
          </w:tcPr>
          <w:p>
            <w:r/>
            <w:r>
              <w:rPr>
                <w:b w:val="0"/>
                <w:sz w:val="22"/>
              </w:rPr>
              <w:t>6</w:t>
            </w:r>
          </w:p>
        </w:tc>
        <w:tc>
          <w:tcPr>
            <w:tcW w:type="dxa" w:w="1921"/>
          </w:tcPr>
          <w:p>
            <w:r/>
            <w:r>
              <w:rPr>
                <w:b w:val="0"/>
                <w:sz w:val="22"/>
              </w:rPr>
              <w:t>warriors</w:t>
            </w:r>
          </w:p>
        </w:tc>
        <w:tc>
          <w:tcPr>
            <w:tcW w:type="dxa" w:w="1921"/>
          </w:tcPr>
          <w:p>
            <w:r/>
            <w:r>
              <w:rPr>
                <w:b w:val="0"/>
                <w:sz w:val="22"/>
              </w:rPr>
              <w:t>Text 1, line 28</w:t>
            </w:r>
          </w:p>
        </w:tc>
        <w:tc>
          <w:tcPr>
            <w:tcW w:type="dxa" w:w="1921"/>
          </w:tcPr>
          <w:p>
            <w:r/>
            <w:r>
              <w:rPr>
                <w:b/>
                <w:sz w:val="22"/>
              </w:rPr>
              <w:t>I</w:t>
            </w:r>
          </w:p>
        </w:tc>
        <w:tc>
          <w:tcPr>
            <w:tcW w:type="dxa" w:w="1921"/>
          </w:tcPr>
          <w:p>
            <w:r/>
            <w:r>
              <w:rPr>
                <w:b w:val="0"/>
                <w:sz w:val="22"/>
              </w:rPr>
              <w:t>soldiers who fight in battles</w:t>
            </w:r>
          </w:p>
        </w:tc>
      </w:tr>
      <w:tr>
        <w:tc>
          <w:tcPr>
            <w:tcW w:type="dxa" w:w="1921"/>
          </w:tcPr>
          <w:p>
            <w:r/>
            <w:r>
              <w:rPr>
                <w:b w:val="0"/>
                <w:sz w:val="22"/>
              </w:rPr>
              <w:t>7</w:t>
            </w:r>
          </w:p>
        </w:tc>
        <w:tc>
          <w:tcPr>
            <w:tcW w:type="dxa" w:w="1921"/>
          </w:tcPr>
          <w:p>
            <w:r/>
            <w:r>
              <w:rPr>
                <w:b w:val="0"/>
                <w:sz w:val="22"/>
              </w:rPr>
              <w:t>grandiose</w:t>
            </w:r>
          </w:p>
        </w:tc>
        <w:tc>
          <w:tcPr>
            <w:tcW w:type="dxa" w:w="1921"/>
          </w:tcPr>
          <w:p>
            <w:r/>
            <w:r>
              <w:rPr>
                <w:b w:val="0"/>
                <w:sz w:val="22"/>
              </w:rPr>
              <w:t>Text 1, line 36</w:t>
            </w:r>
          </w:p>
        </w:tc>
        <w:tc>
          <w:tcPr>
            <w:tcW w:type="dxa" w:w="1921"/>
          </w:tcPr>
          <w:p>
            <w:r/>
            <w:r>
              <w:rPr>
                <w:b/>
                <w:sz w:val="22"/>
              </w:rPr>
              <w:t>H</w:t>
            </w:r>
          </w:p>
        </w:tc>
        <w:tc>
          <w:tcPr>
            <w:tcW w:type="dxa" w:w="1921"/>
          </w:tcPr>
          <w:p>
            <w:r/>
            <w:r>
              <w:rPr>
                <w:b w:val="0"/>
                <w:sz w:val="22"/>
              </w:rPr>
              <w:t>very grand and impressive; bigger than necessary</w:t>
            </w:r>
          </w:p>
        </w:tc>
      </w:tr>
      <w:tr>
        <w:tc>
          <w:tcPr>
            <w:tcW w:type="dxa" w:w="1921"/>
          </w:tcPr>
          <w:p>
            <w:r/>
            <w:r>
              <w:rPr>
                <w:b w:val="0"/>
                <w:sz w:val="22"/>
              </w:rPr>
              <w:t>8</w:t>
            </w:r>
          </w:p>
        </w:tc>
        <w:tc>
          <w:tcPr>
            <w:tcW w:type="dxa" w:w="1921"/>
          </w:tcPr>
          <w:p>
            <w:r/>
            <w:r>
              <w:rPr>
                <w:b w:val="0"/>
                <w:sz w:val="22"/>
              </w:rPr>
              <w:t>serendipity</w:t>
            </w:r>
          </w:p>
        </w:tc>
        <w:tc>
          <w:tcPr>
            <w:tcW w:type="dxa" w:w="1921"/>
          </w:tcPr>
          <w:p>
            <w:r/>
            <w:r>
              <w:rPr>
                <w:b w:val="0"/>
                <w:sz w:val="22"/>
              </w:rPr>
              <w:t>Text 1, line 62</w:t>
            </w:r>
          </w:p>
        </w:tc>
        <w:tc>
          <w:tcPr>
            <w:tcW w:type="dxa" w:w="1921"/>
          </w:tcPr>
          <w:p>
            <w:r/>
            <w:r>
              <w:rPr>
                <w:b/>
                <w:sz w:val="22"/>
              </w:rPr>
              <w:t>G</w:t>
            </w:r>
          </w:p>
        </w:tc>
        <w:tc>
          <w:tcPr>
            <w:tcW w:type="dxa" w:w="1921"/>
          </w:tcPr>
          <w:p>
            <w:r/>
            <w:r>
              <w:rPr>
                <w:b w:val="0"/>
                <w:sz w:val="22"/>
              </w:rPr>
              <w:t>good luck; finding something good by chance</w:t>
            </w:r>
          </w:p>
        </w:tc>
      </w:tr>
      <w:tr>
        <w:tc>
          <w:tcPr>
            <w:tcW w:type="dxa" w:w="1921"/>
          </w:tcPr>
          <w:p>
            <w:r/>
            <w:r>
              <w:rPr>
                <w:b w:val="0"/>
                <w:sz w:val="22"/>
              </w:rPr>
              <w:t>9</w:t>
            </w:r>
          </w:p>
        </w:tc>
        <w:tc>
          <w:tcPr>
            <w:tcW w:type="dxa" w:w="1921"/>
          </w:tcPr>
          <w:p>
            <w:r/>
            <w:r>
              <w:rPr>
                <w:b w:val="0"/>
                <w:sz w:val="22"/>
              </w:rPr>
              <w:t>excavation</w:t>
            </w:r>
          </w:p>
        </w:tc>
        <w:tc>
          <w:tcPr>
            <w:tcW w:type="dxa" w:w="1921"/>
          </w:tcPr>
          <w:p>
            <w:r/>
            <w:r>
              <w:rPr>
                <w:b w:val="0"/>
                <w:sz w:val="22"/>
              </w:rPr>
              <w:t>Text 1, line 65</w:t>
            </w:r>
          </w:p>
        </w:tc>
        <w:tc>
          <w:tcPr>
            <w:tcW w:type="dxa" w:w="1921"/>
          </w:tcPr>
          <w:p>
            <w:r/>
            <w:r>
              <w:rPr>
                <w:b/>
                <w:sz w:val="22"/>
              </w:rPr>
              <w:t>D</w:t>
            </w:r>
          </w:p>
        </w:tc>
        <w:tc>
          <w:tcPr>
            <w:tcW w:type="dxa" w:w="1921"/>
          </w:tcPr>
          <w:p>
            <w:r/>
            <w:r>
              <w:rPr>
                <w:b w:val="0"/>
                <w:sz w:val="22"/>
              </w:rPr>
              <w:t>digging in the ground to find old things</w:t>
            </w:r>
          </w:p>
        </w:tc>
      </w:tr>
      <w:tr>
        <w:tc>
          <w:tcPr>
            <w:tcW w:type="dxa" w:w="1921"/>
          </w:tcPr>
          <w:p>
            <w:r/>
            <w:r>
              <w:rPr>
                <w:b w:val="0"/>
                <w:sz w:val="22"/>
              </w:rPr>
              <w:t>10</w:t>
            </w:r>
          </w:p>
        </w:tc>
        <w:tc>
          <w:tcPr>
            <w:tcW w:type="dxa" w:w="1921"/>
          </w:tcPr>
          <w:p>
            <w:r/>
            <w:r>
              <w:rPr>
                <w:b w:val="0"/>
                <w:sz w:val="22"/>
              </w:rPr>
              <w:t>remnants</w:t>
            </w:r>
          </w:p>
        </w:tc>
        <w:tc>
          <w:tcPr>
            <w:tcW w:type="dxa" w:w="1921"/>
          </w:tcPr>
          <w:p>
            <w:r/>
            <w:r>
              <w:rPr>
                <w:b w:val="0"/>
                <w:sz w:val="22"/>
              </w:rPr>
              <w:t>Text 1, line 91</w:t>
            </w:r>
          </w:p>
        </w:tc>
        <w:tc>
          <w:tcPr>
            <w:tcW w:type="dxa" w:w="1921"/>
          </w:tcPr>
          <w:p>
            <w:r/>
            <w:r>
              <w:rPr>
                <w:b/>
                <w:sz w:val="22"/>
              </w:rPr>
              <w:t>F</w:t>
            </w:r>
          </w:p>
        </w:tc>
        <w:tc>
          <w:tcPr>
            <w:tcW w:type="dxa" w:w="1921"/>
          </w:tcPr>
          <w:p>
            <w:r/>
            <w:r>
              <w:rPr>
                <w:b w:val="0"/>
                <w:sz w:val="22"/>
              </w:rPr>
              <w:t>small parts that are left over; remains</w:t>
            </w:r>
          </w:p>
        </w:tc>
      </w:tr>
    </w:tbl>
    <w:p>
      <w:pPr>
        <w:spacing w:before="200" w:after="80"/>
      </w:pPr>
      <w:r>
        <w:rPr>
          <w:b/>
          <w:sz w:val="28"/>
        </w:rPr>
        <w:t>Part B: Teaching Tips — Finding Reasons, Purposes &amp; Intentions</w:t>
      </w:r>
    </w:p>
    <w:p>
      <w:pPr>
        <w:spacing w:after="80"/>
      </w:pPr>
      <w:r>
        <w:rPr>
          <w:b w:val="0"/>
          <w:sz w:val="22"/>
        </w:rPr>
        <w:t>Many open-ended questions in DSE Paper 1 ask about reasons, purposes or intentions. Train students to (1) recognise the question pattern, then (2) hunt for the signal words that carry the answer.</w:t>
      </w:r>
    </w:p>
    <w:p>
      <w:pPr>
        <w:spacing w:after="80"/>
      </w:pPr>
      <w:r>
        <w:rPr>
          <w:b/>
          <w:sz w:val="22"/>
        </w:rPr>
        <w:t>1. Question patterns to recognise</w:t>
      </w:r>
    </w:p>
    <w:p>
      <w:pPr>
        <w:spacing w:after="80"/>
      </w:pPr>
      <w:r>
        <w:rPr>
          <w:b w:val="0"/>
          <w:sz w:val="22"/>
        </w:rPr>
        <w:t>Why …? / According to X, why …? / Why should …?   •   What is the purpose of …?   •   What does … show / tell us about …?   •   Why does the writer mention …?</w:t>
      </w:r>
    </w:p>
    <w:p>
      <w:pPr>
        <w:spacing w:before="80" w:after="80"/>
      </w:pPr>
      <w:r>
        <w:rPr>
          <w:b/>
          <w:sz w:val="22"/>
        </w:rPr>
        <w:t>2. Words that signal a reason — watch for these</w:t>
      </w:r>
    </w:p>
    <w:p>
      <w:pPr>
        <w:spacing w:after="0"/>
      </w:pPr>
      <w:r>
        <w:rPr>
          <w:b/>
          <w:sz w:val="22"/>
        </w:rPr>
        <w:t xml:space="preserve">Easy to spot:  </w:t>
      </w:r>
      <w:r>
        <w:rPr>
          <w:b w:val="0"/>
          <w:sz w:val="22"/>
        </w:rPr>
        <w:t>because, since, as, due to, thanks to, so that, to + verb, in order to</w:t>
      </w:r>
    </w:p>
    <w:p>
      <w:pPr>
        <w:spacing w:after="0"/>
      </w:pPr>
      <w:r>
        <w:rPr>
          <w:b/>
          <w:sz w:val="22"/>
        </w:rPr>
        <w:t xml:space="preserve">Easy to miss — teach these:  </w:t>
      </w:r>
      <w:r>
        <w:rPr>
          <w:b w:val="0"/>
          <w:sz w:val="22"/>
        </w:rPr>
        <w:t>given + noun (“given the heat”), with + noun (“with heavy rain”), out of + noun (“out of fear”), prompted by, driven by, in an attempt to, so as to, for fear of, in response to</w:t>
      </w:r>
    </w:p>
    <w:p>
      <w:pPr>
        <w:spacing w:before="80" w:after="80"/>
      </w:pPr>
      <w:r>
        <w:rPr>
          <w:b/>
          <w:sz w:val="22"/>
        </w:rPr>
        <w:t>3. Punctuation clues — read to the RIGHT of the mark</w:t>
      </w:r>
    </w:p>
    <w:p>
      <w:pPr>
        <w:spacing w:after="0"/>
      </w:pPr>
      <w:r>
        <w:rPr>
          <w:b w:val="0"/>
          <w:sz w:val="22"/>
        </w:rPr>
        <w:t>•  Dash (—) and colon (:): the reason / explanation follows the mark.</w:t>
      </w:r>
    </w:p>
    <w:p>
      <w:pPr>
        <w:spacing w:after="0"/>
      </w:pPr>
      <w:r>
        <w:rPr>
          <w:b w:val="0"/>
          <w:sz w:val="22"/>
        </w:rPr>
        <w:t>•  Quotation marks (“ ”): the speaker’s own words — the reason in “According to X” questions sits inside them.</w:t>
      </w:r>
    </w:p>
    <w:p>
      <w:pPr>
        <w:spacing w:after="0"/>
      </w:pPr>
      <w:r>
        <w:rPr>
          <w:b w:val="0"/>
          <w:sz w:val="22"/>
        </w:rPr>
        <w:t>•  Brackets ( ), semicolon (;): extra information; two linked ideas — the reason can be on either side.</w:t>
      </w:r>
    </w:p>
    <w:p>
      <w:pPr>
        <w:spacing w:before="80" w:after="80"/>
      </w:pPr>
      <w:r>
        <w:rPr>
          <w:b/>
          <w:sz w:val="22"/>
        </w:rPr>
        <w:t>4. Three-step attack</w:t>
      </w:r>
    </w:p>
    <w:p>
      <w:pPr>
        <w:spacing w:after="0"/>
      </w:pPr>
      <w:r>
        <w:rPr>
          <w:b w:val="0"/>
          <w:sz w:val="22"/>
        </w:rPr>
        <w:t>Step 1 — Circle the question word: why / purpose / show.</w:t>
      </w:r>
    </w:p>
    <w:p>
      <w:pPr>
        <w:spacing w:after="0"/>
      </w:pPr>
      <w:r>
        <w:rPr>
          <w:b w:val="0"/>
          <w:sz w:val="22"/>
        </w:rPr>
        <w:t>Step 2 — Find a signal word (because, to, so that, given, with …) or a punctuation clue (— :).</w:t>
      </w:r>
    </w:p>
    <w:p>
      <w:pPr>
        <w:spacing w:after="0"/>
      </w:pPr>
      <w:r>
        <w:rPr>
          <w:b w:val="0"/>
          <w:sz w:val="22"/>
        </w:rPr>
        <w:t>Step 3 — Answer in your own words: “why” needs a CAUSE; “purpose” starts with “to …” or “so that …”.</w:t>
      </w:r>
    </w:p>
    <w:p>
      <w:pPr>
        <w:spacing w:before="80" w:after="80"/>
      </w:pPr>
      <w:r>
        <w:rPr>
          <w:b/>
          <w:sz w:val="22"/>
        </w:rPr>
        <w:t>5. Demo Question 1 — Purpose (“What is the purpose of …?”)</w:t>
      </w:r>
    </w:p>
    <w:p>
      <w:pPr>
        <w:spacing w:after="0"/>
      </w:pPr>
      <w:r>
        <w:rPr>
          <w:b/>
          <w:sz w:val="22"/>
        </w:rPr>
        <w:t>Read this paragraph (demo — not from the examination paper):</w:t>
      </w:r>
    </w:p>
    <w:p>
      <w:pPr>
        <w:spacing w:after="80"/>
      </w:pPr>
      <w:r>
        <w:rPr>
          <w:b w:val="0"/>
          <w:sz w:val="22"/>
        </w:rPr>
        <w:t>“Every day, Hong Kong restaurants throw away hundreds of tonnes of edible food. To fight this waste, a charity has launched a ‘surprise meal’ scheme: chefs collect leftover ingredients and turn them into three-course dinners sold for a sixth of the normal price — the aim is simple, to keep good food out of the landfill. ‘We are not a soup kitchen,’ says founder Grace Lam. ‘We are a rescue team.’ Customers pay what they can, and anyone who cannot pay eats for free.”</w:t>
      </w:r>
    </w:p>
    <w:p>
      <w:pPr>
        <w:spacing w:after="80"/>
      </w:pPr>
      <w:r>
        <w:rPr>
          <w:b/>
          <w:sz w:val="22"/>
        </w:rPr>
        <w:t xml:space="preserve">Open-ended question:  </w:t>
      </w:r>
      <w:r>
        <w:rPr>
          <w:b w:val="0"/>
          <w:sz w:val="22"/>
        </w:rPr>
        <w:t>What is the purpose of the ‘surprise meal’ scheme?</w:t>
      </w:r>
    </w:p>
    <w:p>
      <w:pPr>
        <w:spacing w:after="0"/>
      </w:pPr>
      <w:r>
        <w:rPr>
          <w:b/>
          <w:sz w:val="22"/>
        </w:rPr>
        <w:t>Hints for students:</w:t>
      </w:r>
    </w:p>
    <w:p>
      <w:pPr>
        <w:spacing w:after="0"/>
      </w:pPr>
      <w:r>
        <w:rPr>
          <w:b w:val="0"/>
          <w:sz w:val="22"/>
        </w:rPr>
        <w:t>•  Two punctuation clues: the colon after “scheme:” and the dash after “normal price —”. Both introduce an explanation.</w:t>
      </w:r>
    </w:p>
    <w:p>
      <w:pPr>
        <w:spacing w:after="0"/>
      </w:pPr>
      <w:r>
        <w:rPr>
          <w:b w:val="0"/>
          <w:sz w:val="22"/>
        </w:rPr>
        <w:t>•  Read right after the dash: “the aim is simple, to keep good food out of the landfill.”</w:t>
      </w:r>
    </w:p>
    <w:p>
      <w:pPr>
        <w:spacing w:after="0"/>
      </w:pPr>
      <w:r>
        <w:rPr>
          <w:b w:val="0"/>
          <w:sz w:val="22"/>
        </w:rPr>
        <w:t>•  The opening phrase “To fight this waste” also tells you the aim — check the beginning of the paragraph too.</w:t>
      </w:r>
    </w:p>
    <w:p>
      <w:pPr>
        <w:spacing w:before="80" w:after="80"/>
      </w:pPr>
      <w:r>
        <w:rPr>
          <w:b/>
          <w:sz w:val="22"/>
        </w:rPr>
        <w:t xml:space="preserve">Model answer:  </w:t>
      </w:r>
      <w:r>
        <w:rPr>
          <w:b w:val="0"/>
          <w:sz w:val="22"/>
        </w:rPr>
        <w:t>To keep good food out of the landfill / to reduce the amount of edible food being wasted.</w:t>
      </w:r>
    </w:p>
    <w:p>
      <w:pPr>
        <w:spacing w:before="80" w:after="80"/>
      </w:pPr>
      <w:r>
        <w:rPr>
          <w:b/>
          <w:sz w:val="22"/>
        </w:rPr>
        <w:t>6. Demo Question 2 — Reason (“Why …?”)</w:t>
      </w:r>
    </w:p>
    <w:p>
      <w:pPr>
        <w:spacing w:after="0"/>
      </w:pPr>
      <w:r>
        <w:rPr>
          <w:b/>
          <w:sz w:val="22"/>
        </w:rPr>
        <w:t>Read this paragraph (demo — not from the examination paper):</w:t>
      </w:r>
    </w:p>
    <w:p>
      <w:pPr>
        <w:spacing w:after="80"/>
      </w:pPr>
      <w:r>
        <w:rPr>
          <w:b w:val="0"/>
          <w:sz w:val="22"/>
        </w:rPr>
        <w:t>“Every summer, the city’s Maritime Museum hosts a model-ship race for children. Families crowd the harbour wall to watch the race, which lasts only ten minutes — the real goal is to draw young visitors into the exhibition halls. Visitors who race a boat usually beg their parents for a second visit; given the museum’s modest entrance fee, few families refuse.”</w:t>
      </w:r>
    </w:p>
    <w:p>
      <w:pPr>
        <w:spacing w:after="80"/>
      </w:pPr>
      <w:r>
        <w:rPr>
          <w:b/>
          <w:sz w:val="22"/>
        </w:rPr>
        <w:t xml:space="preserve">Open-ended question:  </w:t>
      </w:r>
      <w:r>
        <w:rPr>
          <w:b w:val="0"/>
          <w:sz w:val="22"/>
        </w:rPr>
        <w:t>According to the paragraph, why do few families refuse a second visit to the museum?</w:t>
      </w:r>
    </w:p>
    <w:p>
      <w:pPr>
        <w:spacing w:after="0"/>
      </w:pPr>
      <w:r>
        <w:rPr>
          <w:b/>
          <w:sz w:val="22"/>
        </w:rPr>
        <w:t>Hints for students:</w:t>
      </w:r>
    </w:p>
    <w:p>
      <w:pPr>
        <w:spacing w:after="0"/>
      </w:pPr>
      <w:r>
        <w:rPr>
          <w:b w:val="0"/>
          <w:sz w:val="22"/>
        </w:rPr>
        <w:t>•  The question asks for a REASON → hunt for a signal word you would normally skip over.</w:t>
      </w:r>
    </w:p>
    <w:p>
      <w:pPr>
        <w:spacing w:after="0"/>
      </w:pPr>
      <w:r>
        <w:rPr>
          <w:b w:val="0"/>
          <w:sz w:val="22"/>
        </w:rPr>
        <w:t>•  “given the museum’s modest entrance fee” = “because the entrance fee is low” — given + noun is an easy-to-miss reason signal.</w:t>
      </w:r>
    </w:p>
    <w:p>
      <w:pPr>
        <w:spacing w:after="0"/>
      </w:pPr>
      <w:r>
        <w:rPr>
          <w:b w:val="0"/>
          <w:sz w:val="22"/>
        </w:rPr>
        <w:t>•  The semicolon links two ideas — read the second one for the reason.</w:t>
      </w:r>
    </w:p>
    <w:p>
      <w:pPr>
        <w:spacing w:before="80" w:after="80"/>
      </w:pPr>
      <w:r>
        <w:rPr>
          <w:b/>
          <w:sz w:val="22"/>
        </w:rPr>
        <w:t xml:space="preserve">Model answer:  </w:t>
      </w:r>
      <w:r>
        <w:rPr>
          <w:b w:val="0"/>
          <w:sz w:val="22"/>
        </w:rPr>
        <w:t>Because the museum’s entrance fee is low / modest.</w:t>
      </w:r>
    </w:p>
    <w:p>
      <w:pPr>
        <w:spacing w:before="200" w:after="80"/>
      </w:pPr>
      <w:r>
        <w:rPr>
          <w:b/>
          <w:sz w:val="28"/>
        </w:rPr>
        <w:t>Part C: Open-Ended Questions (Explanations &amp; Analysis)</w:t>
      </w:r>
    </w:p>
    <w:p>
      <w:pPr>
        <w:spacing w:after="160"/>
      </w:pPr>
      <w:r>
        <w:rPr>
          <w:b w:val="0"/>
          <w:sz w:val="22"/>
        </w:rPr>
        <w:t>9 questions · 12 marks — answer in your own words, not full sentences from the text.</w:t>
      </w:r>
    </w:p>
    <w:p>
      <w:pPr>
        <w:spacing w:before="160" w:after="0"/>
      </w:pPr>
      <w:r>
        <w:rPr>
          <w:b/>
          <w:sz w:val="22"/>
        </w:rPr>
        <w:t xml:space="preserve">Q1. (DSE Q4) </w:t>
      </w:r>
      <w:r>
        <w:rPr>
          <w:b/>
          <w:sz w:val="22"/>
        </w:rPr>
        <w:t>What does ‘the task’ (line 23) refer to?</w:t>
      </w:r>
    </w:p>
    <w:p>
      <w:pPr>
        <w:spacing w:after="0"/>
      </w:pPr>
      <w:r>
        <w:rPr>
          <w:b/>
          <w:sz w:val="22"/>
        </w:rPr>
        <w:t xml:space="preserve">Model Answer:  </w:t>
      </w:r>
      <w:r>
        <w:rPr>
          <w:b w:val="0"/>
          <w:sz w:val="22"/>
        </w:rPr>
        <w:t>It refers to transforming / rebuilding a heap of clay fragments into a full-size warrior — reassembling an army of terra-cotta warriors.</w:t>
      </w:r>
    </w:p>
    <w:tbl>
      <w:tblPr>
        <w:tblStyle w:val="TableGrid"/>
        <w:tblW w:type="auto" w:w="0"/>
        <w:tblLook w:firstColumn="1" w:firstRow="1" w:lastColumn="0" w:lastRow="0" w:noHBand="0" w:noVBand="1" w:val="04A0"/>
      </w:tblPr>
      <w:tblGrid>
        <w:gridCol w:w="9605"/>
      </w:tblGrid>
      <w:tr>
        <w:tc>
          <w:tcPr>
            <w:tcW w:type="dxa" w:w="9605"/>
          </w:tcPr>
          <w:p>
            <w:r>
              <w:rPr>
                <w:b/>
                <w:sz w:val="20"/>
              </w:rPr>
              <w:t xml:space="preserve">Teacher's Explanation: </w:t>
            </w:r>
            <w:r>
              <w:rPr>
                <w:sz w:val="20"/>
              </w:rPr>
              <w:t>Paragraph 3 (lines 20–23): “…many days to transform a heap of clay fragments into a full-size warrior, but today they are lucky, accomplishing the task in a matter of hours.” — “the task” looks back at the sentence before it: turning broken clay pieces into a whole warrior. (1 mark; 70% of candidates correct.)</w:t>
            </w:r>
          </w:p>
        </w:tc>
      </w:tr>
    </w:tbl>
    <w:p>
      <w:pPr>
        <w:spacing w:before="160" w:after="0"/>
      </w:pPr>
      <w:r>
        <w:rPr>
          <w:b/>
          <w:sz w:val="22"/>
        </w:rPr>
        <w:t xml:space="preserve">Q2. (DSE Q5) </w:t>
      </w:r>
      <w:r>
        <w:rPr>
          <w:b/>
          <w:sz w:val="22"/>
        </w:rPr>
        <w:t>According to paragraph 3, what were the farmers doing when they first discovered the terra-cotta warriors?</w:t>
      </w:r>
    </w:p>
    <w:p>
      <w:pPr>
        <w:spacing w:after="0"/>
      </w:pPr>
      <w:r>
        <w:rPr>
          <w:b/>
          <w:sz w:val="22"/>
        </w:rPr>
        <w:t xml:space="preserve">Model Answer:  </w:t>
      </w:r>
      <w:r>
        <w:rPr>
          <w:b w:val="0"/>
          <w:sz w:val="22"/>
        </w:rPr>
        <w:t>They were digging a well (for their orchard).</w:t>
      </w:r>
    </w:p>
    <w:tbl>
      <w:tblPr>
        <w:tblStyle w:val="TableGrid"/>
        <w:tblW w:type="auto" w:w="0"/>
        <w:tblLook w:firstColumn="1" w:firstRow="1" w:lastColumn="0" w:lastRow="0" w:noHBand="0" w:noVBand="1" w:val="04A0"/>
      </w:tblPr>
      <w:tblGrid>
        <w:gridCol w:w="9605"/>
      </w:tblGrid>
      <w:tr>
        <w:tc>
          <w:tcPr>
            <w:tcW w:type="dxa" w:w="9605"/>
          </w:tcPr>
          <w:p>
            <w:r>
              <w:rPr>
                <w:b/>
                <w:sz w:val="20"/>
              </w:rPr>
              <w:t xml:space="preserve">Teacher's Explanation: </w:t>
            </w:r>
            <w:r>
              <w:rPr>
                <w:sz w:val="20"/>
              </w:rPr>
              <w:t>Paragraph 3 (lines 24–27): “…when farmers from her village of Xiyang first unearthed pottery and a sculpted head while digging a well for their orchard.” — they found the warriors by accident while digging the well. Candidates who wrote only “digging” without “a well” lost the mark. (1 mark; 47% of candidates correct.)</w:t>
            </w:r>
          </w:p>
        </w:tc>
      </w:tr>
    </w:tbl>
    <w:p>
      <w:pPr>
        <w:spacing w:before="160" w:after="0"/>
      </w:pPr>
      <w:r>
        <w:rPr>
          <w:b/>
          <w:sz w:val="22"/>
        </w:rPr>
        <w:t xml:space="preserve">Q3. (DSE Q8) </w:t>
      </w:r>
      <w:r>
        <w:rPr>
          <w:b/>
          <w:sz w:val="22"/>
        </w:rPr>
        <w:t>Find a word in paragraph 4 that means ‘not colorful’.</w:t>
      </w:r>
    </w:p>
    <w:p>
      <w:pPr>
        <w:spacing w:after="0"/>
      </w:pPr>
      <w:r>
        <w:rPr>
          <w:b/>
          <w:sz w:val="22"/>
        </w:rPr>
        <w:t xml:space="preserve">Model Answer:  </w:t>
      </w:r>
      <w:r>
        <w:rPr>
          <w:b w:val="0"/>
          <w:sz w:val="22"/>
        </w:rPr>
        <w:t>monochrome</w:t>
      </w:r>
    </w:p>
    <w:tbl>
      <w:tblPr>
        <w:tblStyle w:val="TableGrid"/>
        <w:tblW w:type="auto" w:w="0"/>
        <w:tblLook w:firstColumn="1" w:firstRow="1" w:lastColumn="0" w:lastRow="0" w:noHBand="0" w:noVBand="1" w:val="04A0"/>
      </w:tblPr>
      <w:tblGrid>
        <w:gridCol w:w="9605"/>
      </w:tblGrid>
      <w:tr>
        <w:tc>
          <w:tcPr>
            <w:tcW w:type="dxa" w:w="9605"/>
          </w:tcPr>
          <w:p>
            <w:r>
              <w:rPr>
                <w:b/>
                <w:sz w:val="20"/>
              </w:rPr>
              <w:t xml:space="preserve">Teacher's Explanation: </w:t>
            </w:r>
            <w:r>
              <w:rPr>
                <w:sz w:val="20"/>
              </w:rPr>
              <w:t>Paragraph 4 (line 33): “The monochrome figures that visitors to Xian’s terra-cotta army museum see today…” — mono = one, chrome = colour (one colour) → not colorful. (1 mark; 37% of candidates correct.)</w:t>
            </w:r>
          </w:p>
        </w:tc>
      </w:tr>
    </w:tbl>
    <w:p>
      <w:pPr>
        <w:spacing w:before="160" w:after="0"/>
      </w:pPr>
      <w:r>
        <w:rPr>
          <w:b/>
          <w:sz w:val="22"/>
        </w:rPr>
        <w:t xml:space="preserve">Q4. (DSE Q11) </w:t>
      </w:r>
      <w:r>
        <w:rPr>
          <w:b/>
          <w:sz w:val="22"/>
        </w:rPr>
        <w:t>According to paragraph 5, why did the colors of the warriors not survive?</w:t>
      </w:r>
    </w:p>
    <w:p>
      <w:pPr>
        <w:spacing w:after="0"/>
      </w:pPr>
      <w:r>
        <w:rPr>
          <w:b/>
          <w:sz w:val="22"/>
        </w:rPr>
        <w:t xml:space="preserve">Model Answer:  </w:t>
      </w:r>
      <w:r>
        <w:rPr>
          <w:b w:val="0"/>
          <w:sz w:val="22"/>
        </w:rPr>
        <w:t>Because the colors were exposed to the (dry Xian) air and disintegrated.</w:t>
      </w:r>
    </w:p>
    <w:tbl>
      <w:tblPr>
        <w:tblStyle w:val="TableGrid"/>
        <w:tblW w:type="auto" w:w="0"/>
        <w:tblLook w:firstColumn="1" w:firstRow="1" w:lastColumn="0" w:lastRow="0" w:noHBand="0" w:noVBand="1" w:val="04A0"/>
      </w:tblPr>
      <w:tblGrid>
        <w:gridCol w:w="9605"/>
      </w:tblGrid>
      <w:tr>
        <w:tc>
          <w:tcPr>
            <w:tcW w:type="dxa" w:w="9605"/>
          </w:tcPr>
          <w:p>
            <w:r>
              <w:rPr>
                <w:b/>
                <w:sz w:val="20"/>
              </w:rPr>
              <w:t xml:space="preserve">Teacher's Explanation: </w:t>
            </w:r>
            <w:r>
              <w:rPr>
                <w:sz w:val="20"/>
              </w:rPr>
              <w:t>Paragraph 5 (lines 51–56): “…most of the colors did not survive the crucible of time — or the exposure to air that comes with discovery and excavation. In earlier digs, archaeologists often watched helplessly as the warriors’ colors disintegrated in the dry Xian air.” — exposure to the dry air made the colors flake off. (1 mark; 83% of candidates correct.)</w:t>
            </w:r>
          </w:p>
        </w:tc>
      </w:tr>
    </w:tbl>
    <w:p>
      <w:pPr>
        <w:spacing w:before="160" w:after="0"/>
      </w:pPr>
      <w:r>
        <w:rPr>
          <w:b/>
          <w:sz w:val="22"/>
        </w:rPr>
        <w:t xml:space="preserve">Q5. (DSE Q12) </w:t>
      </w:r>
      <w:r>
        <w:rPr>
          <w:b/>
          <w:sz w:val="22"/>
        </w:rPr>
        <w:t>In line 61, the writer mentions boiling an egg to show…</w:t>
      </w:r>
    </w:p>
    <w:p>
      <w:pPr>
        <w:spacing w:after="0"/>
      </w:pPr>
      <w:r>
        <w:rPr>
          <w:b/>
          <w:sz w:val="22"/>
        </w:rPr>
        <w:t xml:space="preserve">Model Answer:  </w:t>
      </w:r>
      <w:r>
        <w:rPr>
          <w:b w:val="0"/>
          <w:sz w:val="22"/>
        </w:rPr>
        <w:t>…how quickly / fast the paint begins to curl and flake off — vibrant pieces of history are lost in a very short time.</w:t>
      </w:r>
    </w:p>
    <w:tbl>
      <w:tblPr>
        <w:tblStyle w:val="TableGrid"/>
        <w:tblW w:type="auto" w:w="0"/>
        <w:tblLook w:firstColumn="1" w:firstRow="1" w:lastColumn="0" w:lastRow="0" w:noHBand="0" w:noVBand="1" w:val="04A0"/>
      </w:tblPr>
      <w:tblGrid>
        <w:gridCol w:w="9605"/>
      </w:tblGrid>
      <w:tr>
        <w:tc>
          <w:tcPr>
            <w:tcW w:type="dxa" w:w="9605"/>
          </w:tcPr>
          <w:p>
            <w:r>
              <w:rPr>
                <w:b/>
                <w:sz w:val="20"/>
              </w:rPr>
              <w:t xml:space="preserve">Teacher's Explanation: </w:t>
            </w:r>
            <w:r>
              <w:rPr>
                <w:sz w:val="20"/>
              </w:rPr>
              <w:t>Lines 58–61: “…the lacquer underneath the paint begins to curl after 15 seconds and flake off in just four minutes — vibrant pieces of history lost in the time it takes to boil an egg.” — a boiled egg is ready in minutes; the paint disappears just as fast. This is a “to show …” (intention) question: the answer must explain what the example demonstrates. (1 mark; 38% of candidates correct.)</w:t>
            </w:r>
          </w:p>
        </w:tc>
      </w:tr>
    </w:tbl>
    <w:p>
      <w:pPr>
        <w:spacing w:before="160" w:after="0"/>
      </w:pPr>
      <w:r>
        <w:rPr>
          <w:b/>
          <w:sz w:val="22"/>
        </w:rPr>
        <w:t xml:space="preserve">Q6. (DSE Q14) </w:t>
      </w:r>
      <w:r>
        <w:rPr>
          <w:b/>
          <w:sz w:val="22"/>
        </w:rPr>
        <w:t>Who developed PEG (line 76)?</w:t>
      </w:r>
    </w:p>
    <w:p>
      <w:pPr>
        <w:spacing w:after="0"/>
      </w:pPr>
      <w:r>
        <w:rPr>
          <w:b/>
          <w:sz w:val="22"/>
        </w:rPr>
        <w:t xml:space="preserve">Model Answer:  </w:t>
      </w:r>
      <w:r>
        <w:rPr>
          <w:b w:val="0"/>
          <w:sz w:val="22"/>
        </w:rPr>
        <w:t>Chinese researchers (working together) with experts from the Conservation Office in Germany.</w:t>
      </w:r>
    </w:p>
    <w:tbl>
      <w:tblPr>
        <w:tblStyle w:val="TableGrid"/>
        <w:tblW w:type="auto" w:w="0"/>
        <w:tblLook w:firstColumn="1" w:firstRow="1" w:lastColumn="0" w:lastRow="0" w:noHBand="0" w:noVBand="1" w:val="04A0"/>
      </w:tblPr>
      <w:tblGrid>
        <w:gridCol w:w="9605"/>
      </w:tblGrid>
      <w:tr>
        <w:tc>
          <w:tcPr>
            <w:tcW w:type="dxa" w:w="9605"/>
          </w:tcPr>
          <w:p>
            <w:r>
              <w:rPr>
                <w:b/>
                <w:sz w:val="20"/>
              </w:rPr>
              <w:t xml:space="preserve">Teacher's Explanation: </w:t>
            </w:r>
            <w:r>
              <w:rPr>
                <w:sz w:val="20"/>
              </w:rPr>
              <w:t>Paragraph 7 (lines 74–76): “Almost thirty years ago, Chinese researchers started working with experts from the Conservation Office in Germany to develop a preservative known as PEG…” — both groups developed it; one side only lost the mark. (1 mark; 40% of candidates correct.)</w:t>
            </w:r>
          </w:p>
        </w:tc>
      </w:tr>
    </w:tbl>
    <w:p>
      <w:pPr>
        <w:spacing w:before="160" w:after="0"/>
      </w:pPr>
      <w:r>
        <w:rPr>
          <w:b/>
          <w:sz w:val="22"/>
        </w:rPr>
        <w:t xml:space="preserve">Q7. (DSE Q15) </w:t>
      </w:r>
      <w:r>
        <w:rPr>
          <w:b/>
          <w:sz w:val="22"/>
        </w:rPr>
        <w:t>What is the purpose of wrapping the artifact in plastic?</w:t>
      </w:r>
    </w:p>
    <w:p>
      <w:pPr>
        <w:spacing w:after="0"/>
      </w:pPr>
      <w:r>
        <w:rPr>
          <w:b/>
          <w:sz w:val="22"/>
        </w:rPr>
        <w:t xml:space="preserve">Model Answer:  </w:t>
      </w:r>
      <w:r>
        <w:rPr>
          <w:b w:val="0"/>
          <w:sz w:val="22"/>
        </w:rPr>
        <w:t>To keep in the protective moisture / to keep the artifact wet / to protect it from the dry air.</w:t>
      </w:r>
    </w:p>
    <w:tbl>
      <w:tblPr>
        <w:tblStyle w:val="TableGrid"/>
        <w:tblW w:type="auto" w:w="0"/>
        <w:tblLook w:firstColumn="1" w:firstRow="1" w:lastColumn="0" w:lastRow="0" w:noHBand="0" w:noVBand="1" w:val="04A0"/>
      </w:tblPr>
      <w:tblGrid>
        <w:gridCol w:w="9605"/>
      </w:tblGrid>
      <w:tr>
        <w:tc>
          <w:tcPr>
            <w:tcW w:type="dxa" w:w="9605"/>
          </w:tcPr>
          <w:p>
            <w:r>
              <w:rPr>
                <w:b/>
                <w:sz w:val="20"/>
              </w:rPr>
              <w:t xml:space="preserve">Teacher's Explanation: </w:t>
            </w:r>
            <w:r>
              <w:rPr>
                <w:sz w:val="20"/>
              </w:rPr>
              <w:t>Paragraph 7 (lines 79–81): “…workers sprayed any bit of exposed color with the solution, then wrapped it in plastic to keep in the protective moisture.” — the plastic traps the moisture so the color does not dry out and flake off. Purpose questions need a “to …” / “so that …” answer. (1 mark; 74% of candidates correct.)</w:t>
            </w:r>
          </w:p>
        </w:tc>
      </w:tr>
    </w:tbl>
    <w:p>
      <w:pPr>
        <w:spacing w:before="160" w:after="0"/>
      </w:pPr>
      <w:r>
        <w:rPr>
          <w:b/>
          <w:sz w:val="22"/>
        </w:rPr>
        <w:t xml:space="preserve">Q8. (DSE Q19) </w:t>
      </w:r>
      <w:r>
        <w:rPr>
          <w:b/>
          <w:sz w:val="22"/>
        </w:rPr>
        <w:t>According to Rong Bo, why should the earth be treated like an artifact (lines 112–113)?</w:t>
      </w:r>
    </w:p>
    <w:p>
      <w:pPr>
        <w:spacing w:after="0"/>
      </w:pPr>
      <w:r>
        <w:rPr>
          <w:b/>
          <w:sz w:val="22"/>
        </w:rPr>
        <w:t xml:space="preserve">Model Answer:  </w:t>
      </w:r>
      <w:r>
        <w:rPr>
          <w:b w:val="0"/>
          <w:sz w:val="22"/>
        </w:rPr>
        <w:t>Because so much color and artistry has been imprinted on the soil — the ancient paint adheres to dirt more readily than to lacquer.</w:t>
      </w:r>
    </w:p>
    <w:tbl>
      <w:tblPr>
        <w:tblStyle w:val="TableGrid"/>
        <w:tblW w:type="auto" w:w="0"/>
        <w:tblLook w:firstColumn="1" w:firstRow="1" w:lastColumn="0" w:lastRow="0" w:noHBand="0" w:noVBand="1" w:val="04A0"/>
      </w:tblPr>
      <w:tblGrid>
        <w:gridCol w:w="9605"/>
      </w:tblGrid>
      <w:tr>
        <w:tc>
          <w:tcPr>
            <w:tcW w:type="dxa" w:w="9605"/>
          </w:tcPr>
          <w:p>
            <w:r>
              <w:rPr>
                <w:b/>
                <w:sz w:val="20"/>
              </w:rPr>
              <w:t xml:space="preserve">Teacher's Explanation: </w:t>
            </w:r>
            <w:r>
              <w:rPr>
                <w:sz w:val="20"/>
              </w:rPr>
              <w:t>Paragraph 10 (lines 110–113): “With so much color and artistry imprinted on the soil — the ancient paint, alas, adheres to dirt more readily than to lacquer — … ‘We are treating the earth as an artifact,’ says Rong Bo…” — the soil itself holds the ancient paint, so the soil, like the paint, must be preserved. (1 mark; 28% of candidates correct — the hardest question in this lesson.)</w:t>
            </w:r>
          </w:p>
        </w:tc>
      </w:tr>
    </w:tbl>
    <w:p>
      <w:pPr>
        <w:spacing w:before="160" w:after="0"/>
      </w:pPr>
      <w:r>
        <w:rPr>
          <w:b/>
          <w:sz w:val="22"/>
        </w:rPr>
        <w:t xml:space="preserve">Q9. (DSE Q20) </w:t>
      </w:r>
      <w:r>
        <w:rPr>
          <w:b/>
          <w:sz w:val="22"/>
        </w:rPr>
        <w:t>Based on the information in paragraph 10, complete the following text by writing ONE word to fill in each blank. You should make sure that your answers are grammatically correct, paying attention to word form, plurals, etc. (4 marks)</w:t>
      </w:r>
    </w:p>
    <w:p>
      <w:pPr>
        <w:spacing w:after="0"/>
      </w:pPr>
      <w:r>
        <w:rPr>
          <w:b/>
          <w:sz w:val="22"/>
        </w:rPr>
        <w:t xml:space="preserve">Model Answer:  </w:t>
      </w:r>
      <w:r>
        <w:rPr>
          <w:b w:val="0"/>
          <w:sz w:val="22"/>
        </w:rPr>
        <w:t>(i) Rong / chemists / researchers / scientists / experts / preservationists   (ii) create / find / develop / discover / invent   (iii) (re)applying   (iv) binding agent</w:t>
      </w:r>
    </w:p>
    <w:tbl>
      <w:tblPr>
        <w:tblStyle w:val="TableGrid"/>
        <w:tblW w:type="auto" w:w="0"/>
        <w:tblLook w:firstColumn="1" w:firstRow="1" w:lastColumn="0" w:lastRow="0" w:noHBand="0" w:noVBand="1" w:val="04A0"/>
      </w:tblPr>
      <w:tblGrid>
        <w:gridCol w:w="9605"/>
      </w:tblGrid>
      <w:tr>
        <w:tc>
          <w:tcPr>
            <w:tcW w:type="dxa" w:w="9605"/>
          </w:tcPr>
          <w:p>
            <w:r>
              <w:rPr>
                <w:b/>
                <w:sz w:val="20"/>
              </w:rPr>
              <w:t xml:space="preserve">Teacher's Explanation: </w:t>
            </w:r>
            <w:r>
              <w:rPr>
                <w:sz w:val="20"/>
              </w:rPr>
              <w:t>Gapped text: “The next challenge for (i)________ is to (ii)________ a procedure for (iii)________ color to the warriors now that a (iv)________ has been developed to hold together the soil.” — Paragraph 10 (lines 112–118): “…Rong Bo, the museum’s head chemist, who helped develop a binding agent that holds the soil together…. The next challenge, Rong says, will be to find an acceptable method for reapplying this color to the warriors.” Blank (iv) needs a singular noun: “binding agent”. Percentages per blank: (i) 47%  (ii) 62%  (iii) 63%  (iv) 63%. (4 marks.)</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