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 w:before="0"/>
      </w:pPr>
      <w:r>
        <w:rPr>
          <w:rFonts w:ascii="Calibri" w:hAnsi="Calibri"/>
          <w:b/>
          <w:color w:val="17365D"/>
          <w:sz w:val="36"/>
        </w:rPr>
        <w:t>F6 English SP — Lesson 5 (DSE 2013 Paper 1 Part B1)</w:t>
      </w:r>
    </w:p>
    <w:p>
      <w:pPr>
        <w:keepNext w:val="0"/>
        <w:spacing w:after="60" w:before="0"/>
      </w:pPr>
      <w:r>
        <w:rPr>
          <w:rFonts w:ascii="Calibri" w:hAnsi="Calibri"/>
          <w:b/>
          <w:color w:val="17365D"/>
          <w:sz w:val="26"/>
        </w:rPr>
        <w:t>TEACHER'S VERSION &amp; ANSWER KEY WITH EXPLANATIONS</w:t>
      </w:r>
    </w:p>
    <w:p>
      <w:pPr>
        <w:keepNext w:val="0"/>
        <w:spacing w:after="160" w:before="0"/>
      </w:pPr>
      <w:r>
        <w:rPr>
          <w:rFonts w:ascii="Calibri" w:hAnsi="Calibri"/>
          <w:b w:val="0"/>
          <w:color w:val="595959"/>
          <w:sz w:val="20"/>
        </w:rPr>
        <w:t>Reading: Part B1  ·  Text 2 “Master teaches a much-loved instrument”  +  Text 3 “What your updates say about you”  ·  11 open-ended questions (12 marks)  ·  skill taught: metaphor &amp; simile (Q10)</w:t>
      </w:r>
    </w:p>
    <w:p>
      <w:pPr>
        <w:keepNext/>
        <w:spacing w:after="40" w:before="0"/>
      </w:pPr>
      <w:r>
        <w:rPr>
          <w:rFonts w:ascii="Calibri" w:hAnsi="Calibri"/>
          <w:b/>
          <w:color w:val="17365D"/>
          <w:sz w:val="28"/>
        </w:rPr>
        <w:t>Part A  Key vocabulary — 10 difficult words worth learning (Answer Key)</w:t>
      </w:r>
    </w:p>
    <w:p>
      <w:pPr>
        <w:keepNext w:val="0"/>
        <w:spacing w:after="80" w:before="0"/>
      </w:pPr>
      <w:r>
        <w:rPr>
          <w:rFonts w:ascii="Calibri" w:hAnsi="Calibri"/>
          <w:b w:val="0"/>
          <w:sz w:val="21"/>
        </w:rPr>
        <w:t>Match each word or phrase (1–10) with the correct definition (A–J). Write the letter in the answer column.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sz w:val="21"/>
              </w:rPr>
              <w:t>No.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sz w:val="21"/>
              </w:rPr>
              <w:t>Word / phrase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sz w:val="21"/>
              </w:rPr>
              <w:t>Answer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sz w:val="21"/>
              </w:rPr>
              <w:t>Definition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comprise  (Text 2, Line 37)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color w:val="C00000"/>
                <w:sz w:val="21"/>
              </w:rPr>
              <w:t>G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to consist of; to be made up of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intake  (Text 2, Line 56)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color w:val="C00000"/>
                <w:sz w:val="21"/>
              </w:rPr>
              <w:t>E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a group of people admitted at one time (e.g. a new class of students)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tuition  (Text 2, Line 34)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color w:val="C00000"/>
                <w:sz w:val="21"/>
              </w:rPr>
              <w:t>I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money paid for lessons; (also) teaching itself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posture  (Text 2, Line 40)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color w:val="C00000"/>
                <w:sz w:val="21"/>
              </w:rPr>
              <w:t>D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the position in which you hold your body when sitting or standing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unwittingly  (Text 3, Line 6)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color w:val="C00000"/>
                <w:sz w:val="21"/>
              </w:rPr>
              <w:t>B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by accident; without realising what you are doing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assumption  (Text 3, Line 15)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color w:val="C00000"/>
                <w:sz w:val="21"/>
              </w:rPr>
              <w:t>H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an idea that you accept as true without proof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disclosures  (Text 3, Line 35)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color w:val="C00000"/>
                <w:sz w:val="21"/>
              </w:rPr>
              <w:t>F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personal information that you reveal/make known to others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nocturnal  (Text 3, Line 52)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color w:val="C00000"/>
                <w:sz w:val="21"/>
              </w:rPr>
              <w:t>C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active or happening at night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desperation  (Text 3, Line 45)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color w:val="C00000"/>
                <w:sz w:val="21"/>
              </w:rPr>
              <w:t>J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a feeling of hopelessness / a strong need that makes you act without thinking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counterproductively  (Text 3, Line 58)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/>
                <w:color w:val="C00000"/>
                <w:sz w:val="21"/>
              </w:rPr>
              <w:t>A</w:t>
            </w:r>
          </w:p>
        </w:tc>
        <w:tc>
          <w:tcPr>
            <w:tcW w:type="dxa" w:w="2400"/>
          </w:tcPr>
          <w:p>
            <w:pPr>
              <w:spacing w:after="20"/>
            </w:pPr>
            <w:r>
              <w:rPr>
                <w:b w:val="0"/>
                <w:sz w:val="21"/>
              </w:rPr>
              <w:t>in a way that has the opposite result to the one you intended</w:t>
            </w:r>
          </w:p>
        </w:tc>
      </w:tr>
    </w:tbl>
    <w:p>
      <w:pPr>
        <w:keepNext w:val="0"/>
        <w:spacing w:after="160" w:before="80"/>
      </w:pPr>
      <w:r>
        <w:rPr>
          <w:rFonts w:ascii="Calibri" w:hAnsi="Calibri"/>
          <w:b/>
          <w:color w:val="17365D"/>
          <w:sz w:val="21"/>
        </w:rPr>
        <w:t>Answers:  1-G,  2-E,  3-I,  4-D,  5-B,  6-H,  7-F,  8-C,  9-J,  10-A</w:t>
      </w:r>
    </w:p>
    <w:p>
      <w:pPr>
        <w:keepNext/>
        <w:spacing w:after="40" w:before="40"/>
      </w:pPr>
      <w:r>
        <w:rPr>
          <w:rFonts w:ascii="Calibri" w:hAnsi="Calibri"/>
          <w:b/>
          <w:color w:val="17365D"/>
          <w:sz w:val="28"/>
        </w:rPr>
        <w:t>Part B  Teaching focus — comparison questions (metaphor &amp; simile)</w:t>
      </w:r>
    </w:p>
    <w:p>
      <w:pPr>
        <w:keepNext w:val="0"/>
        <w:spacing w:after="120" w:before="0"/>
      </w:pPr>
      <w:r>
        <w:rPr>
          <w:rFonts w:ascii="Calibri" w:hAnsi="Calibri"/>
          <w:b w:val="0"/>
          <w:sz w:val="21"/>
        </w:rPr>
        <w:t>Q10 (DSE Q44) “Why is Facebook compared to cigarettes and alcohol?” is the only comparison question in this paper, so the lesson teaches one skill: a comparison question is answered with the QUALITY the two things share. The student handout now carries two fresh examples (one simile, one metaphor) that are NOT the exam question — the exam sentence is kept back for the 12-mark practice at the end of the lesson.</w:t>
      </w:r>
    </w:p>
    <w:p>
      <w:pPr>
        <w:keepNext/>
        <w:spacing w:after="40" w:before="0"/>
      </w:pPr>
      <w:r>
        <w:rPr>
          <w:rFonts w:ascii="Calibri" w:hAnsi="Calibri"/>
          <w:b/>
          <w:color w:val="17365D"/>
          <w:sz w:val="23"/>
        </w:rPr>
        <w:t>Handout examples (student sheet, Part 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2"/>
      </w:tblGrid>
      <w:tr>
        <w:trPr>
          <w:cantSplit/>
        </w:trPr>
        <w:tc>
          <w:tcPr>
            <w:tcW w:type="dxa" w:w="9602"/>
          </w:tcPr>
          <w:p>
            <w:pPr>
              <w:keepNext/>
              <w:spacing w:after="40" w:before="40"/>
            </w:pPr>
            <w:r>
              <w:rPr>
                <w:rFonts w:ascii="Calibri" w:hAnsi="Calibri"/>
                <w:b/>
                <w:sz w:val="21"/>
              </w:rPr>
              <w:t xml:space="preserve">SIMILE — </w:t>
            </w:r>
            <w:r>
              <w:rPr>
                <w:rFonts w:ascii="Calibri" w:hAnsi="Calibri"/>
                <w:b w:val="0"/>
                <w:sz w:val="21"/>
              </w:rPr>
              <w:t>The pressure before the public exams weighed on her shoulders like a mountain of lead.</w:t>
            </w:r>
            <w:r>
              <w:rPr>
                <w:rFonts w:ascii="Calibri" w:hAnsi="Calibri"/>
                <w:b w:val="0"/>
                <w:sz w:val="21"/>
              </w:rPr>
              <w:t xml:space="preserve">   →  the signal is written openly (like / as … as / compared to / similar to): the shared quality is </w:t>
            </w:r>
            <w:r>
              <w:rPr>
                <w:rFonts w:ascii="Calibri" w:hAnsi="Calibri"/>
                <w:b/>
                <w:color w:val="C00000"/>
                <w:sz w:val="21"/>
              </w:rPr>
              <w:t>heavy</w:t>
            </w:r>
            <w:r>
              <w:rPr>
                <w:rFonts w:ascii="Calibri" w:hAnsi="Calibri"/>
                <w:b w:val="0"/>
                <w:sz w:val="21"/>
              </w:rPr>
              <w:t xml:space="preserve"> — copy the quality, not the object.</w:t>
            </w:r>
          </w:p>
          <w:p>
            <w:pPr>
              <w:keepNext/>
              <w:spacing w:after="40" w:before="40"/>
            </w:pPr>
            <w:r>
              <w:rPr>
                <w:rFonts w:ascii="Calibri" w:hAnsi="Calibri"/>
                <w:b/>
                <w:sz w:val="21"/>
              </w:rPr>
              <w:t xml:space="preserve">METAPHOR — </w:t>
            </w:r>
            <w:r>
              <w:rPr>
                <w:rFonts w:ascii="Calibri" w:hAnsi="Calibri"/>
                <w:b w:val="0"/>
                <w:sz w:val="21"/>
              </w:rPr>
              <w:t>Landfills are ticking bombs that future generations have to deal with.</w:t>
            </w:r>
            <w:r>
              <w:rPr>
                <w:rFonts w:ascii="Calibri" w:hAnsi="Calibri"/>
                <w:b w:val="0"/>
                <w:sz w:val="21"/>
              </w:rPr>
              <w:t xml:space="preserve">   →  X IS Y with no “like” or “as”: what do landfills and ticking bombs share? Both are </w:t>
            </w:r>
            <w:r>
              <w:rPr>
                <w:rFonts w:ascii="Calibri" w:hAnsi="Calibri"/>
                <w:b/>
                <w:color w:val="C00000"/>
                <w:sz w:val="21"/>
              </w:rPr>
              <w:t>dangerous and will cause serious harm later / if not dealt with now</w:t>
            </w:r>
            <w:r>
              <w:rPr>
                <w:rFonts w:ascii="Calibri" w:hAnsi="Calibri"/>
                <w:b w:val="0"/>
                <w:sz w:val="21"/>
              </w:rPr>
              <w:t>.</w:t>
            </w:r>
          </w:p>
          <w:p>
            <w:pPr>
              <w:keepNext/>
              <w:spacing w:after="40" w:before="40"/>
            </w:pPr>
            <w:r>
              <w:rPr>
                <w:rFonts w:ascii="Calibri" w:hAnsi="Calibri"/>
                <w:b/>
                <w:sz w:val="21"/>
              </w:rPr>
              <w:t xml:space="preserve">How to answer — </w:t>
            </w:r>
            <w:r>
              <w:rPr>
                <w:rFonts w:ascii="Calibri" w:hAnsi="Calibri"/>
                <w:b w:val="0"/>
                <w:sz w:val="21"/>
              </w:rPr>
              <w:t>what do the two things SHARE? They are both …</w:t>
            </w:r>
          </w:p>
        </w:tc>
      </w:tr>
    </w:tbl>
    <w:p>
      <w:pPr>
        <w:keepNext w:val="0"/>
        <w:spacing w:after="120" w:before="0"/>
      </w:pPr>
      <w:r>
        <w:rPr>
          <w:rFonts w:ascii="Calibri" w:hAnsi="Calibri"/>
          <w:b w:val="0"/>
          <w:sz w:val="8"/>
        </w:rPr>
      </w:r>
    </w:p>
    <w:p>
      <w:pPr>
        <w:keepNext/>
        <w:spacing w:after="40" w:before="0"/>
      </w:pPr>
      <w:r>
        <w:rPr>
          <w:rFonts w:ascii="Calibri" w:hAnsi="Calibri"/>
          <w:b/>
          <w:color w:val="17365D"/>
          <w:sz w:val="23"/>
        </w:rPr>
        <w:t>Deck teaching point (slides 4–5)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2"/>
      </w:tblGrid>
      <w:tr>
        <w:trPr>
          <w:cantSplit/>
        </w:trPr>
        <w:tc>
          <w:tcPr>
            <w:tcW w:type="dxa" w:w="9602"/>
          </w:tcPr>
          <w:p>
            <w:pPr>
              <w:keepNext/>
              <w:spacing w:after="40" w:before="40"/>
            </w:pPr>
            <w:r>
              <w:rPr>
                <w:rFonts w:ascii="Calibri" w:hAnsi="Calibri"/>
                <w:b w:val="0"/>
                <w:sz w:val="21"/>
              </w:rPr>
              <w:t xml:space="preserve">The two PPT demos are </w:t>
            </w:r>
            <w:r>
              <w:rPr>
                <w:rFonts w:ascii="Calibri" w:hAnsi="Calibri"/>
                <w:b/>
                <w:sz w:val="21"/>
              </w:rPr>
              <w:t>separate made-up sentences</w:t>
            </w:r>
            <w:r>
              <w:rPr>
                <w:rFonts w:ascii="Calibri" w:hAnsi="Calibri"/>
                <w:b w:val="0"/>
                <w:sz w:val="21"/>
              </w:rPr>
              <w:t xml:space="preserve"> — a bee (easy simile) and a slot machine (difficult metaphor). They teach the skill; they never reuse the exam sentence, so Q10 is still a genuine test when students reach it.</w:t>
            </w:r>
          </w:p>
          <w:p>
            <w:pPr>
              <w:keepNext/>
              <w:spacing w:after="40" w:before="40"/>
            </w:pPr>
            <w:r>
              <w:rPr>
                <w:rFonts w:ascii="Calibri" w:hAnsi="Calibri"/>
                <w:b w:val="0"/>
                <w:sz w:val="21"/>
              </w:rPr>
              <w:t xml:space="preserve">Click order to hold in class: </w:t>
            </w:r>
            <w:r>
              <w:rPr>
                <w:rFonts w:ascii="Calibri" w:hAnsi="Calibri"/>
                <w:b w:val="0"/>
                <w:sz w:val="21"/>
              </w:rPr>
              <w:t>tips slide — simile card → metaphor card → how-to-answer card.   Demo 1 — model answer.   Demo 2 — “How to find it” strip FIRST, then the model answer.   Question slides — evidence card, then the answer.</w:t>
            </w:r>
          </w:p>
        </w:tc>
      </w:tr>
    </w:tbl>
    <w:p>
      <w:pPr>
        <w:keepNext w:val="0"/>
        <w:spacing w:after="120" w:before="0"/>
      </w:pPr>
      <w:r>
        <w:rPr>
          <w:rFonts w:ascii="Calibri" w:hAnsi="Calibri"/>
          <w:b w:val="0"/>
          <w:sz w:val="8"/>
        </w:rPr>
      </w:r>
    </w:p>
    <w:p>
      <w:pPr>
        <w:keepNext/>
        <w:spacing w:after="40" w:before="0"/>
      </w:pPr>
      <w:r>
        <w:rPr>
          <w:rFonts w:ascii="Calibri" w:hAnsi="Calibri"/>
          <w:b/>
          <w:color w:val="17365D"/>
          <w:sz w:val="23"/>
        </w:rPr>
        <w:t>Question types in this paper (for reference)</w:t>
      </w:r>
    </w:p>
    <w:p>
      <w:pPr>
        <w:keepNext w:val="0"/>
        <w:spacing w:after="160" w:before="0"/>
      </w:pPr>
      <w:r>
        <w:rPr>
          <w:rFonts w:ascii="Calibri" w:hAnsi="Calibri"/>
          <w:b w:val="0"/>
          <w:color w:val="595959"/>
          <w:sz w:val="21"/>
        </w:rPr>
        <w:t>Q1 reference/time (82%)  ·  Q2 word-finding (43%)  ·  Q3 reason (85%)  ·  Q4 gap-fill (59%)  ·  Q5 two points (34%)  ·  Q6 inference (3%)  ·  Q7 vocabulary in context (56%)  ·  Q8 reference (33%)  ·  Q9 reference (53%)  ·  Q10 comparison — the taught skill (28%)  ·  Q11 two-part (48% / 46%)</w:t>
      </w:r>
    </w:p>
    <w:p>
      <w:pPr>
        <w:keepNext/>
        <w:spacing w:after="40" w:before="40"/>
      </w:pPr>
      <w:r>
        <w:rPr>
          <w:rFonts w:ascii="Calibri" w:hAnsi="Calibri"/>
          <w:b/>
          <w:color w:val="17365D"/>
          <w:sz w:val="28"/>
        </w:rPr>
        <w:t>Part C  Open-ended questions — the exercise (12 marks)</w:t>
      </w:r>
    </w:p>
    <w:p>
      <w:pPr>
        <w:keepNext w:val="0"/>
        <w:spacing w:after="120" w:before="0"/>
      </w:pPr>
      <w:r>
        <w:rPr>
          <w:rFonts w:ascii="Calibri" w:hAnsi="Calibri"/>
          <w:b w:val="0"/>
          <w:color w:val="595959"/>
          <w:sz w:val="20"/>
        </w:rPr>
        <w:t>The 11 open-ended questions from DSE 2013 Paper 1 Part B1, in passage order. Percentages = 2013 candidate success rate (official marking scheme).</w:t>
      </w:r>
    </w:p>
    <w:p>
      <w:pPr>
        <w:keepNext/>
        <w:spacing w:after="60" w:before="120"/>
      </w:pPr>
      <w:r>
        <w:rPr>
          <w:rFonts w:ascii="Calibri" w:hAnsi="Calibri"/>
          <w:b/>
          <w:color w:val="17365D"/>
          <w:sz w:val="22"/>
        </w:rPr>
        <w:t>Q1. (DSE Q26) When did the guzheng become popular?</w:t>
      </w:r>
      <w:r>
        <w:rPr>
          <w:rFonts w:ascii="Calibri" w:hAnsi="Calibri"/>
          <w:b/>
          <w:color w:val="C00000"/>
          <w:sz w:val="22"/>
        </w:rPr>
        <w:t xml:space="preserve">   (1 mark, 82%)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2"/>
      </w:tblGrid>
      <w:tr>
        <w:trPr>
          <w:cantSplit/>
        </w:trPr>
        <w:tc>
          <w:tcPr>
            <w:tcW w:type="dxa" w:w="9602"/>
          </w:tcPr>
          <w:p>
            <w:pPr>
              <w:keepNext/>
              <w:spacing w:after="40" w:before="40"/>
            </w:pPr>
            <w:r>
              <w:rPr>
                <w:rFonts w:ascii="Calibri" w:hAnsi="Calibri"/>
                <w:b/>
                <w:sz w:val="21"/>
              </w:rPr>
              <w:t>Answer:  since ancient times   ///   during the Qin Dynasty</w:t>
            </w:r>
          </w:p>
          <w:p>
            <w:pPr>
              <w:keepNext/>
              <w:spacing w:after="40" w:before="40"/>
            </w:pPr>
            <w:r>
              <w:rPr>
                <w:rFonts w:ascii="Calibri" w:hAnsi="Calibri"/>
                <w:b w:val="0"/>
                <w:sz w:val="21"/>
              </w:rPr>
              <w:t>Both answers accepted. Text 2 ¶1: “The guzheng has been a popular Chinese instrument since ancient times. It originated during the Warring States period and first became popular during the Qin Dynasty.”</w:t>
            </w:r>
            <w:r>
              <w:rPr>
                <w:rFonts w:ascii="Calibri" w:hAnsi="Calibri"/>
                <w:b w:val="0"/>
                <w:color w:val="595959"/>
                <w:sz w:val="21"/>
              </w:rPr>
              <w:t>Evidence: Text 2, ¶1 (lines 1–3)</w:t>
            </w:r>
          </w:p>
        </w:tc>
      </w:tr>
    </w:tbl>
    <w:p>
      <w:pPr>
        <w:keepNext w:val="0"/>
        <w:spacing w:after="120" w:before="0"/>
      </w:pPr>
      <w:r>
        <w:rPr>
          <w:rFonts w:ascii="Calibri" w:hAnsi="Calibri"/>
          <w:b w:val="0"/>
          <w:sz w:val="8"/>
        </w:rPr>
      </w:r>
    </w:p>
    <w:p>
      <w:pPr>
        <w:keepNext/>
        <w:spacing w:after="60" w:before="120"/>
      </w:pPr>
      <w:r>
        <w:rPr>
          <w:rFonts w:ascii="Calibri" w:hAnsi="Calibri"/>
          <w:b/>
          <w:color w:val="17365D"/>
          <w:sz w:val="22"/>
        </w:rPr>
        <w:t>Q2. (DSE Q28) Find a word in paragraph 2 that means the same as “unstable”.</w:t>
      </w:r>
      <w:r>
        <w:rPr>
          <w:rFonts w:ascii="Calibri" w:hAnsi="Calibri"/>
          <w:b/>
          <w:color w:val="C00000"/>
          <w:sz w:val="22"/>
        </w:rPr>
        <w:t xml:space="preserve">   (1 mark, 43%)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2"/>
      </w:tblGrid>
      <w:tr>
        <w:trPr>
          <w:cantSplit/>
        </w:trPr>
        <w:tc>
          <w:tcPr>
            <w:tcW w:type="dxa" w:w="9602"/>
          </w:tcPr>
          <w:p>
            <w:pPr>
              <w:keepNext/>
              <w:spacing w:after="40" w:before="40"/>
            </w:pPr>
            <w:r>
              <w:rPr>
                <w:rFonts w:ascii="Calibri" w:hAnsi="Calibri"/>
                <w:b/>
                <w:sz w:val="21"/>
              </w:rPr>
              <w:t>Answer:  turbulent</w:t>
            </w:r>
          </w:p>
          <w:p>
            <w:pPr>
              <w:keepNext/>
              <w:spacing w:after="40" w:before="40"/>
            </w:pPr>
            <w:r>
              <w:rPr>
                <w:rFonts w:ascii="Calibri" w:hAnsi="Calibri"/>
                <w:b w:val="0"/>
                <w:sz w:val="21"/>
              </w:rPr>
              <w:t>Word-finding question. ¶2: “After surviving the turbulent times of the Cultural Revolution…”. Clue: “turbulent times” = unstable times. Spelling: t-u-r-b-u-l-e-n-t.</w:t>
            </w:r>
            <w:r>
              <w:rPr>
                <w:rFonts w:ascii="Calibri" w:hAnsi="Calibri"/>
                <w:b w:val="0"/>
                <w:color w:val="595959"/>
                <w:sz w:val="21"/>
              </w:rPr>
              <w:t>Evidence: Text 2, ¶2 (line 7)</w:t>
            </w:r>
          </w:p>
        </w:tc>
      </w:tr>
    </w:tbl>
    <w:p>
      <w:pPr>
        <w:keepNext w:val="0"/>
        <w:spacing w:after="120" w:before="0"/>
      </w:pPr>
      <w:r>
        <w:rPr>
          <w:rFonts w:ascii="Calibri" w:hAnsi="Calibri"/>
          <w:b w:val="0"/>
          <w:sz w:val="8"/>
        </w:rPr>
      </w:r>
    </w:p>
    <w:p>
      <w:pPr>
        <w:keepNext/>
        <w:spacing w:after="60" w:before="120"/>
      </w:pPr>
      <w:r>
        <w:rPr>
          <w:rFonts w:ascii="Calibri" w:hAnsi="Calibri"/>
          <w:b/>
          <w:color w:val="17365D"/>
          <w:sz w:val="22"/>
        </w:rPr>
        <w:t>Q3. (DSE Q29) According to Zou Lunlun, why do Chinese people want to learn the guzheng?</w:t>
      </w:r>
      <w:r>
        <w:rPr>
          <w:rFonts w:ascii="Calibri" w:hAnsi="Calibri"/>
          <w:b/>
          <w:color w:val="C00000"/>
          <w:sz w:val="22"/>
        </w:rPr>
        <w:t xml:space="preserve">   (1 mark, 85%)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2"/>
      </w:tblGrid>
      <w:tr>
        <w:trPr>
          <w:cantSplit/>
        </w:trPr>
        <w:tc>
          <w:tcPr>
            <w:tcW w:type="dxa" w:w="9602"/>
          </w:tcPr>
          <w:p>
            <w:pPr>
              <w:keepNext/>
              <w:spacing w:after="40" w:before="40"/>
            </w:pPr>
            <w:r>
              <w:rPr>
                <w:rFonts w:ascii="Calibri" w:hAnsi="Calibri"/>
                <w:b/>
                <w:sz w:val="21"/>
              </w:rPr>
              <w:t>Answer:  they have been exposed to its sound since childhood</w:t>
            </w:r>
          </w:p>
          <w:p>
            <w:pPr>
              <w:keepNext/>
              <w:spacing w:after="40" w:before="40"/>
            </w:pPr>
            <w:r>
              <w:rPr>
                <w:rFonts w:ascii="Calibri" w:hAnsi="Calibri"/>
                <w:b w:val="0"/>
                <w:sz w:val="21"/>
              </w:rPr>
              <w:t>Reason question — signal “because”. ¶3: “Chinese people are attracted to learning the guzheng because they have been exposed to its sound since childhood.” Accept the full clause.</w:t>
            </w:r>
            <w:r>
              <w:rPr>
                <w:rFonts w:ascii="Calibri" w:hAnsi="Calibri"/>
                <w:b w:val="0"/>
                <w:color w:val="595959"/>
                <w:sz w:val="21"/>
              </w:rPr>
              <w:t>Evidence: Text 2, ¶3 (lines 12–14)</w:t>
            </w:r>
          </w:p>
        </w:tc>
      </w:tr>
    </w:tbl>
    <w:p>
      <w:pPr>
        <w:keepNext w:val="0"/>
        <w:spacing w:after="120" w:before="0"/>
      </w:pPr>
      <w:r>
        <w:rPr>
          <w:rFonts w:ascii="Calibri" w:hAnsi="Calibri"/>
          <w:b w:val="0"/>
          <w:sz w:val="8"/>
        </w:rPr>
      </w:r>
    </w:p>
    <w:p>
      <w:pPr>
        <w:keepNext/>
        <w:spacing w:after="60" w:before="120"/>
      </w:pPr>
      <w:r>
        <w:rPr>
          <w:rFonts w:ascii="Calibri" w:hAnsi="Calibri"/>
          <w:b/>
          <w:color w:val="17365D"/>
          <w:sz w:val="22"/>
        </w:rPr>
        <w:t>Q4. (DSE Q30) Use ONE word to complete each blank:  Zou believes Westerners like the guzheng because it sounds ______ and ______.</w:t>
      </w:r>
      <w:r>
        <w:rPr>
          <w:rFonts w:ascii="Calibri" w:hAnsi="Calibri"/>
          <w:b/>
          <w:color w:val="C00000"/>
          <w:sz w:val="22"/>
        </w:rPr>
        <w:t xml:space="preserve">   (1 mark, 59%)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2"/>
      </w:tblGrid>
      <w:tr>
        <w:trPr>
          <w:cantSplit/>
        </w:trPr>
        <w:tc>
          <w:tcPr>
            <w:tcW w:type="dxa" w:w="9602"/>
          </w:tcPr>
          <w:p>
            <w:pPr>
              <w:keepNext/>
              <w:spacing w:after="40" w:before="40"/>
            </w:pPr>
            <w:r>
              <w:rPr>
                <w:rFonts w:ascii="Calibri" w:hAnsi="Calibri"/>
                <w:b/>
                <w:sz w:val="21"/>
              </w:rPr>
              <w:t>Answer:  exotic  /  relaxing</w:t>
            </w:r>
          </w:p>
          <w:p>
            <w:pPr>
              <w:keepNext/>
              <w:spacing w:after="40" w:before="40"/>
            </w:pPr>
            <w:r>
              <w:rPr>
                <w:rFonts w:ascii="Calibri" w:hAnsi="Calibri"/>
                <w:b w:val="0"/>
                <w:sz w:val="21"/>
              </w:rPr>
              <w:t>Gap-fill, TWO blanks but ONE mark for the item — the marking scheme gives a single bracket, so BOTH words must be right to earn the mark. ¶4: “…because of its exotic and relaxing sound.”</w:t>
            </w:r>
            <w:r>
              <w:rPr>
                <w:rFonts w:ascii="Calibri" w:hAnsi="Calibri"/>
                <w:b w:val="0"/>
                <w:color w:val="595959"/>
                <w:sz w:val="21"/>
              </w:rPr>
              <w:t>Evidence: Text 2, ¶4 (lines 17–19)</w:t>
            </w:r>
          </w:p>
        </w:tc>
      </w:tr>
    </w:tbl>
    <w:p>
      <w:pPr>
        <w:keepNext w:val="0"/>
        <w:spacing w:after="120" w:before="0"/>
      </w:pPr>
      <w:r>
        <w:rPr>
          <w:rFonts w:ascii="Calibri" w:hAnsi="Calibri"/>
          <w:b w:val="0"/>
          <w:sz w:val="8"/>
        </w:rPr>
      </w:r>
    </w:p>
    <w:p>
      <w:pPr>
        <w:keepNext/>
        <w:spacing w:after="60" w:before="120"/>
      </w:pPr>
      <w:r>
        <w:rPr>
          <w:rFonts w:ascii="Calibri" w:hAnsi="Calibri"/>
          <w:b/>
          <w:color w:val="17365D"/>
          <w:sz w:val="22"/>
        </w:rPr>
        <w:t>Q5. (DSE Q35) How does the Leisure and Cultural Services Department select students for their guzheng courses?</w:t>
      </w:r>
      <w:r>
        <w:rPr>
          <w:rFonts w:ascii="Calibri" w:hAnsi="Calibri"/>
          <w:b/>
          <w:color w:val="C00000"/>
          <w:sz w:val="22"/>
        </w:rPr>
        <w:t xml:space="preserve">   (1 mark, 34%)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2"/>
      </w:tblGrid>
      <w:tr>
        <w:trPr>
          <w:cantSplit/>
        </w:trPr>
        <w:tc>
          <w:tcPr>
            <w:tcW w:type="dxa" w:w="9602"/>
          </w:tcPr>
          <w:p>
            <w:pPr>
              <w:keepNext/>
              <w:spacing w:after="40" w:before="40"/>
            </w:pPr>
            <w:r>
              <w:rPr>
                <w:rFonts w:ascii="Calibri" w:hAnsi="Calibri"/>
                <w:b/>
                <w:sz w:val="21"/>
              </w:rPr>
              <w:t>Answer:  (passing an) interview and (taking a music aptitude) test  — must include BOTH points to receive 1 mark</w:t>
            </w:r>
          </w:p>
          <w:p>
            <w:pPr>
              <w:keepNext/>
              <w:spacing w:after="40" w:before="40"/>
            </w:pPr>
            <w:r>
              <w:rPr>
                <w:rFonts w:ascii="Calibri" w:hAnsi="Calibri"/>
                <w:b w:val="0"/>
                <w:sz w:val="21"/>
              </w:rPr>
              <w:t>¶10: “Acceptance is based on an interview and a music aptitude test with the next intake in August.” The marking scheme explicitly says both points are needed — this is the trap of the question.</w:t>
            </w:r>
            <w:r>
              <w:rPr>
                <w:rFonts w:ascii="Calibri" w:hAnsi="Calibri"/>
                <w:b w:val="0"/>
                <w:color w:val="595959"/>
                <w:sz w:val="21"/>
              </w:rPr>
              <w:t>Evidence: Text 2, ¶10 (lines 54–56)</w:t>
            </w:r>
          </w:p>
        </w:tc>
      </w:tr>
    </w:tbl>
    <w:p>
      <w:pPr>
        <w:keepNext w:val="0"/>
        <w:spacing w:after="120" w:before="0"/>
      </w:pPr>
      <w:r>
        <w:rPr>
          <w:rFonts w:ascii="Calibri" w:hAnsi="Calibri"/>
          <w:b w:val="0"/>
          <w:sz w:val="8"/>
        </w:rPr>
      </w:r>
    </w:p>
    <w:p>
      <w:pPr>
        <w:keepNext/>
        <w:spacing w:after="60" w:before="200"/>
      </w:pPr>
      <w:r>
        <w:rPr>
          <w:rFonts w:ascii="Calibri" w:hAnsi="Calibri"/>
          <w:b/>
          <w:color w:val="17365D"/>
          <w:sz w:val="22"/>
        </w:rPr>
        <w:t>Q6. (DSE Q37) What does the first paragraph suggest about social media?</w:t>
      </w:r>
      <w:r>
        <w:rPr>
          <w:rFonts w:ascii="Calibri" w:hAnsi="Calibri"/>
          <w:b/>
          <w:color w:val="C00000"/>
          <w:sz w:val="22"/>
        </w:rPr>
        <w:t xml:space="preserve">   (1 mark, 3%)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2"/>
      </w:tblGrid>
      <w:tr>
        <w:trPr>
          <w:cantSplit/>
        </w:trPr>
        <w:tc>
          <w:tcPr>
            <w:tcW w:type="dxa" w:w="9602"/>
          </w:tcPr>
          <w:p>
            <w:pPr>
              <w:keepNext/>
              <w:spacing w:after="40" w:before="40"/>
            </w:pPr>
            <w:r>
              <w:rPr>
                <w:rFonts w:ascii="Calibri" w:hAnsi="Calibri"/>
                <w:b/>
                <w:sz w:val="21"/>
              </w:rPr>
              <w:t>Answer:  it questions whether social media is good  ///  it suggests that social media is not always good  ///  social media may not be that great / may not be as good as we think</w:t>
            </w:r>
          </w:p>
          <w:p>
            <w:pPr>
              <w:keepNext/>
              <w:spacing w:after="40" w:before="40"/>
            </w:pPr>
            <w:r>
              <w:rPr>
                <w:rFonts w:ascii="Calibri" w:hAnsi="Calibri"/>
                <w:b w:val="0"/>
                <w:sz w:val="21"/>
              </w:rPr>
              <w:t>The trick: paragraph 1 opens “Social media is great for deepening bonds… Or is it?” — the rhetorical “Or is it?” undermines the positive claim. Hardest question in the paper (3%). Show students how “Or is it?” flips the meaning.</w:t>
            </w:r>
            <w:r>
              <w:rPr>
                <w:rFonts w:ascii="Calibri" w:hAnsi="Calibri"/>
                <w:b w:val="0"/>
                <w:color w:val="595959"/>
                <w:sz w:val="21"/>
              </w:rPr>
              <w:t>Evidence: Text 3, ¶1 (lines 1–4)</w:t>
            </w:r>
          </w:p>
        </w:tc>
      </w:tr>
    </w:tbl>
    <w:p>
      <w:pPr>
        <w:keepNext w:val="0"/>
        <w:spacing w:after="120" w:before="0"/>
      </w:pPr>
      <w:r>
        <w:rPr>
          <w:rFonts w:ascii="Calibri" w:hAnsi="Calibri"/>
          <w:b w:val="0"/>
          <w:sz w:val="8"/>
        </w:rPr>
      </w:r>
    </w:p>
    <w:p>
      <w:pPr>
        <w:keepNext/>
        <w:spacing w:after="60" w:before="120"/>
      </w:pPr>
      <w:r>
        <w:rPr>
          <w:rFonts w:ascii="Calibri" w:hAnsi="Calibri"/>
          <w:b/>
          <w:color w:val="17365D"/>
          <w:sz w:val="22"/>
        </w:rPr>
        <w:t>Q7. (DSE Q39) According to paragraph 2, what are some users doing by accident?</w:t>
      </w:r>
      <w:r>
        <w:rPr>
          <w:rFonts w:ascii="Calibri" w:hAnsi="Calibri"/>
          <w:b/>
          <w:color w:val="C00000"/>
          <w:sz w:val="22"/>
        </w:rPr>
        <w:t xml:space="preserve">   (1 mark, 56%)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2"/>
      </w:tblGrid>
      <w:tr>
        <w:trPr>
          <w:cantSplit/>
        </w:trPr>
        <w:tc>
          <w:tcPr>
            <w:tcW w:type="dxa" w:w="9602"/>
          </w:tcPr>
          <w:p>
            <w:pPr>
              <w:keepNext/>
              <w:spacing w:after="40" w:before="40"/>
            </w:pPr>
            <w:r>
              <w:rPr>
                <w:rFonts w:ascii="Calibri" w:hAnsi="Calibri"/>
                <w:b/>
                <w:sz w:val="21"/>
              </w:rPr>
              <w:t>Answer:  revealing undesirable personal traits (to their peers)</w:t>
            </w:r>
          </w:p>
          <w:p>
            <w:pPr>
              <w:keepNext/>
              <w:spacing w:after="40" w:before="40"/>
            </w:pPr>
            <w:r>
              <w:rPr>
                <w:rFonts w:ascii="Calibri" w:hAnsi="Calibri"/>
                <w:b w:val="0"/>
                <w:sz w:val="21"/>
              </w:rPr>
              <w:t>“by accident” = “unwittingly” in ¶2: “…power users… are unwittingly revealing undesirable personal traits to their peers.” The answer copies the phrase after “unwittingly”.</w:t>
            </w:r>
            <w:r>
              <w:rPr>
                <w:rFonts w:ascii="Calibri" w:hAnsi="Calibri"/>
                <w:b w:val="0"/>
                <w:color w:val="595959"/>
                <w:sz w:val="21"/>
              </w:rPr>
              <w:t>Evidence: Text 3, ¶2 (lines 6–8)</w:t>
            </w:r>
          </w:p>
        </w:tc>
      </w:tr>
    </w:tbl>
    <w:p>
      <w:pPr>
        <w:keepNext w:val="0"/>
        <w:spacing w:after="120" w:before="0"/>
      </w:pPr>
      <w:r>
        <w:rPr>
          <w:rFonts w:ascii="Calibri" w:hAnsi="Calibri"/>
          <w:b w:val="0"/>
          <w:sz w:val="8"/>
        </w:rPr>
      </w:r>
    </w:p>
    <w:p>
      <w:pPr>
        <w:keepNext/>
        <w:spacing w:after="60" w:before="120"/>
      </w:pPr>
      <w:r>
        <w:rPr>
          <w:rFonts w:ascii="Calibri" w:hAnsi="Calibri"/>
          <w:b/>
          <w:color w:val="17365D"/>
          <w:sz w:val="22"/>
        </w:rPr>
        <w:t>Q8. (DSE Q40) In line 15, “This assumption” refers to…</w:t>
      </w:r>
      <w:r>
        <w:rPr>
          <w:rFonts w:ascii="Calibri" w:hAnsi="Calibri"/>
          <w:b/>
          <w:color w:val="C00000"/>
          <w:sz w:val="22"/>
        </w:rPr>
        <w:t xml:space="preserve">   (1 mark, 33%)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2"/>
      </w:tblGrid>
      <w:tr>
        <w:trPr>
          <w:cantSplit/>
        </w:trPr>
        <w:tc>
          <w:tcPr>
            <w:tcW w:type="dxa" w:w="9602"/>
          </w:tcPr>
          <w:p>
            <w:pPr>
              <w:keepNext/>
              <w:spacing w:after="40" w:before="40"/>
            </w:pPr>
            <w:r>
              <w:rPr>
                <w:rFonts w:ascii="Calibri" w:hAnsi="Calibri"/>
                <w:b/>
                <w:sz w:val="21"/>
              </w:rPr>
              <w:t>Answer:  (the idea) that Facebook could be a fantastic place for people to strengthen their relationships</w:t>
            </w:r>
          </w:p>
          <w:p>
            <w:pPr>
              <w:keepNext/>
              <w:spacing w:after="40" w:before="40"/>
            </w:pPr>
            <w:r>
              <w:rPr>
                <w:rFonts w:ascii="Calibri" w:hAnsi="Calibri"/>
                <w:b w:val="0"/>
                <w:sz w:val="21"/>
              </w:rPr>
              <w:t>Reference question. “This assumption” points BACK to ¶3, the idea Forest describes: “Facebook could be a fantastic place for people to strengthen their relationships.” Teach: read backwards from the reference word.</w:t>
            </w:r>
            <w:r>
              <w:rPr>
                <w:rFonts w:ascii="Calibri" w:hAnsi="Calibri"/>
                <w:b w:val="0"/>
                <w:color w:val="595959"/>
                <w:sz w:val="21"/>
              </w:rPr>
              <w:t>Evidence: Text 3, ¶3–4 (lines 12–15)</w:t>
            </w:r>
          </w:p>
        </w:tc>
      </w:tr>
    </w:tbl>
    <w:p>
      <w:pPr>
        <w:keepNext w:val="0"/>
        <w:spacing w:after="120" w:before="0"/>
      </w:pPr>
      <w:r>
        <w:rPr>
          <w:rFonts w:ascii="Calibri" w:hAnsi="Calibri"/>
          <w:b w:val="0"/>
          <w:sz w:val="8"/>
        </w:rPr>
      </w:r>
    </w:p>
    <w:p>
      <w:pPr>
        <w:keepNext/>
        <w:spacing w:after="60" w:before="120"/>
      </w:pPr>
      <w:r>
        <w:rPr>
          <w:rFonts w:ascii="Calibri" w:hAnsi="Calibri"/>
          <w:b/>
          <w:color w:val="17365D"/>
          <w:sz w:val="22"/>
        </w:rPr>
        <w:t>Q9. (DSE Q43) What does “it” (line 41) refer to?</w:t>
      </w:r>
      <w:r>
        <w:rPr>
          <w:rFonts w:ascii="Calibri" w:hAnsi="Calibri"/>
          <w:b/>
          <w:color w:val="C00000"/>
          <w:sz w:val="22"/>
        </w:rPr>
        <w:t xml:space="preserve">   (1 mark, 53%)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2"/>
      </w:tblGrid>
      <w:tr>
        <w:trPr>
          <w:cantSplit/>
        </w:trPr>
        <w:tc>
          <w:tcPr>
            <w:tcW w:type="dxa" w:w="9602"/>
          </w:tcPr>
          <w:p>
            <w:pPr>
              <w:keepNext/>
              <w:spacing w:after="40" w:before="40"/>
            </w:pPr>
            <w:r>
              <w:rPr>
                <w:rFonts w:ascii="Calibri" w:hAnsi="Calibri"/>
                <w:b/>
                <w:sz w:val="21"/>
              </w:rPr>
              <w:t>Answer:  a negative reaction</w:t>
            </w:r>
          </w:p>
          <w:p>
            <w:pPr>
              <w:keepNext/>
              <w:spacing w:after="40" w:before="40"/>
            </w:pPr>
            <w:r>
              <w:rPr>
                <w:rFonts w:ascii="Calibri" w:hAnsi="Calibri"/>
                <w:b w:val="0"/>
                <w:sz w:val="21"/>
              </w:rPr>
              <w:t>Reference question. ¶8: “But when people have a negative reaction to a post on Facebook, they seem to keep it to themselves.” “it” = the negative reaction. Again: read back to the noun before.</w:t>
            </w:r>
            <w:r>
              <w:rPr>
                <w:rFonts w:ascii="Calibri" w:hAnsi="Calibri"/>
                <w:b w:val="0"/>
                <w:color w:val="595959"/>
                <w:sz w:val="21"/>
              </w:rPr>
              <w:t>Evidence: Text 3, ¶8 (lines 40–41)</w:t>
            </w:r>
          </w:p>
        </w:tc>
      </w:tr>
    </w:tbl>
    <w:p>
      <w:pPr>
        <w:keepNext w:val="0"/>
        <w:spacing w:after="120" w:before="0"/>
      </w:pPr>
      <w:r>
        <w:rPr>
          <w:rFonts w:ascii="Calibri" w:hAnsi="Calibri"/>
          <w:b w:val="0"/>
          <w:sz w:val="8"/>
        </w:rPr>
      </w:r>
    </w:p>
    <w:p>
      <w:pPr>
        <w:keepNext/>
        <w:spacing w:after="60" w:before="120"/>
      </w:pPr>
      <w:r>
        <w:rPr>
          <w:rFonts w:ascii="Calibri" w:hAnsi="Calibri"/>
          <w:b/>
          <w:color w:val="17365D"/>
          <w:sz w:val="22"/>
        </w:rPr>
        <w:t>Q10. (DSE Q44) Why is Facebook compared to cigarettes and alcohol?</w:t>
      </w:r>
      <w:r>
        <w:rPr>
          <w:rFonts w:ascii="Calibri" w:hAnsi="Calibri"/>
          <w:b/>
          <w:color w:val="C00000"/>
          <w:sz w:val="22"/>
        </w:rPr>
        <w:t xml:space="preserve">   (1 mark, 28%)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2"/>
      </w:tblGrid>
      <w:tr>
        <w:trPr>
          <w:cantSplit/>
        </w:trPr>
        <w:tc>
          <w:tcPr>
            <w:tcW w:type="dxa" w:w="9602"/>
          </w:tcPr>
          <w:p>
            <w:pPr>
              <w:keepNext/>
              <w:spacing w:after="40" w:before="40"/>
            </w:pPr>
            <w:r>
              <w:rPr>
                <w:rFonts w:ascii="Calibri" w:hAnsi="Calibri"/>
                <w:b/>
                <w:sz w:val="21"/>
              </w:rPr>
              <w:t>Answer:  Facebook is as addictive as cigarettes and alcohol  ///  it is addictive  ///  it is (like) an addiction  ///  users become addicts</w:t>
            </w:r>
          </w:p>
          <w:p>
            <w:pPr>
              <w:keepNext/>
              <w:spacing w:after="40" w:before="40"/>
            </w:pPr>
            <w:r>
              <w:rPr>
                <w:rFonts w:ascii="Calibri" w:hAnsi="Calibri"/>
                <w:b w:val="0"/>
                <w:sz w:val="21"/>
              </w:rPr>
              <w:t>Comparison question — the skill taught in Part B. ¶9: “…with evidence that Facebook is as addictive as cigarettes and alcohol.” The answer is the point of similarity: addictiveness. Students must write the SHARED QUALITY, never the objects themselves (“because they are similar” earns no mark).</w:t>
            </w:r>
            <w:r>
              <w:rPr>
                <w:rFonts w:ascii="Calibri" w:hAnsi="Calibri"/>
                <w:b w:val="0"/>
                <w:color w:val="595959"/>
                <w:sz w:val="21"/>
              </w:rPr>
              <w:t>Evidence: Text 3, ¶9 (lines 46–47)</w:t>
            </w:r>
          </w:p>
        </w:tc>
      </w:tr>
    </w:tbl>
    <w:p>
      <w:pPr>
        <w:keepNext w:val="0"/>
        <w:spacing w:after="120" w:before="0"/>
      </w:pPr>
      <w:r>
        <w:rPr>
          <w:rFonts w:ascii="Calibri" w:hAnsi="Calibri"/>
          <w:b w:val="0"/>
          <w:sz w:val="8"/>
        </w:rPr>
      </w:r>
    </w:p>
    <w:p>
      <w:pPr>
        <w:keepNext/>
        <w:spacing w:after="60" w:before="200"/>
      </w:pPr>
      <w:r>
        <w:rPr>
          <w:rFonts w:ascii="Calibri" w:hAnsi="Calibri"/>
          <w:b/>
          <w:color w:val="17365D"/>
          <w:sz w:val="22"/>
        </w:rPr>
        <w:t>Q11. (DSE Q45) i) In what way could social networking websites help people with low self-esteem?   ii) In what way can social networking websites be harmful to people with low self-esteem?</w:t>
      </w:r>
      <w:r>
        <w:rPr>
          <w:rFonts w:ascii="Calibri" w:hAnsi="Calibri"/>
          <w:b/>
          <w:color w:val="C00000"/>
          <w:sz w:val="22"/>
        </w:rPr>
        <w:t xml:space="preserve">   (2 marks, 48% / 46%)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2"/>
      </w:tblGrid>
      <w:tr>
        <w:trPr>
          <w:cantSplit/>
        </w:trPr>
        <w:tc>
          <w:tcPr>
            <w:tcW w:type="dxa" w:w="9602"/>
          </w:tcPr>
          <w:p>
            <w:pPr>
              <w:keepNext/>
              <w:spacing w:after="40" w:before="40"/>
            </w:pPr>
            <w:r>
              <w:rPr>
                <w:rFonts w:ascii="Calibri" w:hAnsi="Calibri"/>
                <w:b/>
                <w:sz w:val="21"/>
              </w:rPr>
              <w:t>Answer i):  they can share things on Facebook  ///  it can help them improve their friendship  ///  help them make (new) friends  ///  help them build up their self-esteem</w:t>
            </w:r>
            <w:r>
              <w:rPr>
                <w:rFonts w:ascii="Calibri" w:hAnsi="Calibri"/>
                <w:b/>
                <w:sz w:val="21"/>
              </w:rPr>
              <w:t>Answer ii):  they bombard their friends with negative tidbits about their lives  ///  they may alienate themselves from their friends  ///  they may become less likeable</w:t>
            </w:r>
          </w:p>
          <w:p>
            <w:pPr>
              <w:keepNext/>
              <w:spacing w:after="40" w:before="40"/>
            </w:pPr>
            <w:r>
              <w:rPr>
                <w:rFonts w:ascii="Calibri" w:hAnsi="Calibri"/>
                <w:b w:val="0"/>
                <w:sz w:val="21"/>
              </w:rPr>
              <w:t>TWO parts = 1 mark each. i) = the “In theory” half of ¶10 (sharing strengthens friendships); ii) = the “But in practice” half (bombarding friends with negative tidbits, becoming less likeable). Teach: give exactly the two ideas from ¶10.</w:t>
            </w:r>
            <w:r>
              <w:rPr>
                <w:rFonts w:ascii="Calibri" w:hAnsi="Calibri"/>
                <w:b w:val="0"/>
                <w:color w:val="595959"/>
                <w:sz w:val="21"/>
              </w:rPr>
              <w:t>Evidence: Text 3, ¶10 (lines 52–58)</w:t>
            </w:r>
          </w:p>
        </w:tc>
      </w:tr>
    </w:tbl>
    <w:p>
      <w:pPr>
        <w:keepNext w:val="0"/>
        <w:spacing w:after="120" w:before="0"/>
      </w:pPr>
      <w:r>
        <w:rPr>
          <w:rFonts w:ascii="Calibri" w:hAnsi="Calibri"/>
          <w:b w:val="0"/>
          <w:sz w:val="8"/>
        </w:rPr>
      </w:r>
    </w:p>
    <w:sectPr w:rsidR="00FC693F" w:rsidRPr="0006063C" w:rsidSect="00034616">
      <w:pgSz w:w="11906" w:h="16838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