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spacing w:before="2400" w:after="200"/>
        <w:jc w:val="center"/>
      </w:pPr>
      <w:r>
        <w:t>HORO AI Agent 技术架构设计文档（完整版）</w:t>
      </w:r>
    </w:p>
    <w:p>
      <w:pPr>
        <w:pStyle w:val="SubTitleCN"/>
        <w:spacing w:after="360"/>
        <w:jc w:val="center"/>
      </w:pPr>
      <w:r>
        <w:t>Next.js 全栈、多模型路由、MySQL、Redis、BullMQ 与阿里云 OSS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t>文档版本</w:t>
            </w:r>
          </w:p>
        </w:tc>
        <w:tc>
          <w:tcPr>
            <w:tcW w:type="dxa" w:w="5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BFE"/>
          </w:tcPr>
          <w:p>
            <w:r>
              <w:t>V1.0 重新生成版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t>适用对象</w:t>
            </w:r>
          </w:p>
        </w:tc>
        <w:tc>
          <w:tcPr>
            <w:tcW w:type="dxa" w:w="5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产品、设计、前端、后端、测试、运维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t>编制目的</w:t>
            </w:r>
          </w:p>
        </w:tc>
        <w:tc>
          <w:tcPr>
            <w:tcW w:type="dxa" w:w="5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用于指导 HORO AI Agent 的产品定义、工程实现与交付协同</w:t>
            </w:r>
          </w:p>
        </w:tc>
      </w:tr>
    </w:tbl>
    <w:p/>
    <w:p>
      <w:pPr>
        <w:pStyle w:val="CalloutCN"/>
        <w:spacing w:before="160" w:after="0"/>
        <w:ind w:left="227" w:right="227"/>
      </w:pPr>
      <w:r>
        <w:rPr>
          <w:b/>
        </w:rPr>
        <w:t>说明：</w:t>
      </w:r>
      <w:r>
        <w:t>本套文档基于已确认的官网信息、工作台截图与当前产品约束整理而成，按“全 Skill 覆盖、所有任务均为多轮对话、Next.js 全栈、MySQL、阿里云 OSS、自研 LLM Router”重构。</w:t>
      </w:r>
    </w:p>
    <w:p>
      <w:r>
        <w:br w:type="page"/>
      </w:r>
    </w:p>
    <w:p>
      <w:pPr>
        <w:pStyle w:val="SectionCN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t>更新域后生成目录</w:t>
      </w:r>
    </w:p>
    <w:p>
      <w:r>
        <w:br w:type="page"/>
      </w:r>
    </w:p>
    <w:p>
      <w:pPr>
        <w:pStyle w:val="SectionCN"/>
        <w:spacing w:before="200" w:after="80"/>
      </w:pPr>
      <w:r>
        <w:t>1. 架构总览</w:t>
      </w:r>
    </w:p>
    <w:p>
      <w:pPr>
        <w:pStyle w:val="BodyText"/>
        <w:spacing w:line="324" w:lineRule="auto" w:after="60"/>
      </w:pPr>
      <w:r>
        <w:t>系统采用单仓全栈架构：官网与工作台统一使用 Next.js App Router 构建，服务端接口由 Route Handlers 与服务模块实现，数据存储使用 MySQL，缓存和队列使用 Redis 与 BullMQ，文件存储使用阿里云 OSS，模型接入通过自研 LLM Router 管理。</w:t>
      </w:r>
    </w:p>
    <w:p>
      <w:pPr>
        <w:pStyle w:val="BodyText"/>
        <w:spacing w:line="324" w:lineRule="auto" w:after="60"/>
      </w:pPr>
      <w:r>
        <w:t>整体原则是“前台应用统一、领域模块清晰、调用链可追踪、异步任务可扩展、模型调用可替换”。首版避免把复杂能力拆成过多微服务，以降低交付复杂度；但通过领域层与基础设施层隔离，为后续拆分留下空间。</w:t>
      </w:r>
    </w:p>
    <w:p>
      <w:pPr>
        <w:pStyle w:val="SectionCN"/>
        <w:spacing w:before="200" w:after="80"/>
      </w:pPr>
      <w:r>
        <w:t>2. 代码架构建议</w:t>
      </w:r>
    </w:p>
    <w:p>
      <w:pPr>
        <w:pStyle w:val="BodyText"/>
        <w:spacing w:line="324" w:lineRule="auto" w:after="60"/>
      </w:pPr>
      <w:r>
        <w:t>建议使用 monorepo 风格的单应用仓库，核心目录如下：</w:t>
      </w:r>
    </w:p>
    <w:p>
      <w:pPr>
        <w:pStyle w:val="CalloutCN"/>
      </w:pPr>
      <w:r>
        <w:t>apps/web</w:t>
        <w:br/>
        <w:t xml:space="preserve">  app/</w:t>
        <w:br/>
        <w:t xml:space="preserve">    (marketing)/</w:t>
        <w:br/>
        <w:t xml:space="preserve">    (auth)/</w:t>
        <w:br/>
        <w:t xml:space="preserve">    workspace/</w:t>
        <w:br/>
        <w:t xml:space="preserve">    task/[id]/</w:t>
        <w:br/>
        <w:t xml:space="preserve">    api/</w:t>
        <w:br/>
        <w:t xml:space="preserve">  modules/</w:t>
        <w:br/>
        <w:t xml:space="preserve">    auth/</w:t>
        <w:br/>
        <w:t xml:space="preserve">    skills/</w:t>
        <w:br/>
        <w:t xml:space="preserve">    tasks/</w:t>
        <w:br/>
        <w:t xml:space="preserve">    messages/</w:t>
        <w:br/>
        <w:t xml:space="preserve">    attachments/</w:t>
        <w:br/>
        <w:t xml:space="preserve">    outputs/</w:t>
        <w:br/>
        <w:t xml:space="preserve">    exports/</w:t>
        <w:br/>
        <w:t xml:space="preserve">    llm-router/</w:t>
        <w:br/>
        <w:t xml:space="preserve">  lib/</w:t>
        <w:br/>
        <w:t xml:space="preserve">    db/</w:t>
        <w:br/>
        <w:t xml:space="preserve">    cache/</w:t>
        <w:br/>
        <w:t xml:space="preserve">    queue/</w:t>
        <w:br/>
        <w:t xml:space="preserve">    oss/</w:t>
        <w:br/>
        <w:t xml:space="preserve">    logger/</w:t>
        <w:br/>
        <w:t xml:space="preserve">    observability/</w:t>
        <w:br/>
        <w:t xml:space="preserve">  prisma/</w:t>
        <w:br/>
        <w:t xml:space="preserve">  scripts/</w:t>
        <w:br/>
      </w:r>
    </w:p>
    <w:p>
      <w:pPr>
        <w:pStyle w:val="SectionCN"/>
        <w:spacing w:before="200" w:after="80"/>
      </w:pPr>
      <w:r>
        <w:t>3. 前端与应用层设计</w:t>
      </w:r>
    </w:p>
    <w:p>
      <w:pPr>
        <w:pStyle w:val="BodyText"/>
        <w:spacing w:line="324" w:lineRule="auto" w:after="60"/>
      </w:pPr>
      <w:r>
        <w:t>前端采用 Next.js App Router、TypeScript、Tailwind CSS 和组件化设计。页面分为 marketing、auth、workspace、task detail、admin 五大区域。</w:t>
      </w:r>
    </w:p>
    <w:p>
      <w:pPr>
        <w:pStyle w:val="BodyText"/>
        <w:spacing w:line="324" w:lineRule="auto" w:after="60"/>
      </w:pPr>
      <w:r>
        <w:t>应用层职责：会话 UI、任务列表、Skill 抽屉、导出交互、文件上传、鉴权校验、调用后端服务模块。</w:t>
      </w:r>
    </w:p>
    <w:p>
      <w:pPr>
        <w:pStyle w:val="BodyText"/>
        <w:spacing w:line="324" w:lineRule="auto" w:after="60"/>
      </w:pPr>
      <w:r>
        <w:t>客户端状态建议使用 React Query 管理远程数据，Zustand 管理局部 UI 状态，如当前抽屉开关、选择中的 Skill、消息输入缓存等。</w:t>
      </w:r>
    </w:p>
    <w:p>
      <w:pPr>
        <w:pStyle w:val="SectionCN"/>
        <w:spacing w:before="200" w:after="80"/>
      </w:pPr>
      <w:r>
        <w:t>4. 服务端接口设计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接口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t>POST /api/tasks</w:t>
            </w:r>
          </w:p>
        </w:tc>
        <w:tc>
          <w:tcPr>
            <w:tcW w:type="dxa" w:w="3249"/>
          </w:tcPr>
          <w:p>
            <w:r>
              <w:t>创建任务</w:t>
            </w:r>
          </w:p>
        </w:tc>
        <w:tc>
          <w:tcPr>
            <w:tcW w:type="dxa" w:w="3249"/>
          </w:tcPr>
          <w:p>
            <w:r>
              <w:t>根据首条消息和 skillId 创建 task 与首条用户消息</w:t>
            </w:r>
          </w:p>
        </w:tc>
      </w:tr>
      <w:tr>
        <w:tc>
          <w:tcPr>
            <w:tcW w:type="dxa" w:w="3249"/>
          </w:tcPr>
          <w:p>
            <w:r>
              <w:t>GET /api/tasks</w:t>
            </w:r>
          </w:p>
        </w:tc>
        <w:tc>
          <w:tcPr>
            <w:tcW w:type="dxa" w:w="3249"/>
          </w:tcPr>
          <w:p>
            <w:r>
              <w:t>任务列表</w:t>
            </w:r>
          </w:p>
        </w:tc>
        <w:tc>
          <w:tcPr>
            <w:tcW w:type="dxa" w:w="3249"/>
          </w:tcPr>
          <w:p>
            <w:r>
              <w:t>分页返回当前用户任务</w:t>
            </w:r>
          </w:p>
        </w:tc>
      </w:tr>
      <w:tr>
        <w:tc>
          <w:tcPr>
            <w:tcW w:type="dxa" w:w="3249"/>
          </w:tcPr>
          <w:p>
            <w:r>
              <w:t>GET /api/tasks/:id</w:t>
            </w:r>
          </w:p>
        </w:tc>
        <w:tc>
          <w:tcPr>
            <w:tcW w:type="dxa" w:w="3249"/>
          </w:tcPr>
          <w:p>
            <w:r>
              <w:t>任务详情</w:t>
            </w:r>
          </w:p>
        </w:tc>
        <w:tc>
          <w:tcPr>
            <w:tcW w:type="dxa" w:w="3249"/>
          </w:tcPr>
          <w:p>
            <w:r>
              <w:t>返回任务、消息、输出、附件、导出记录</w:t>
            </w:r>
          </w:p>
        </w:tc>
      </w:tr>
      <w:tr>
        <w:tc>
          <w:tcPr>
            <w:tcW w:type="dxa" w:w="3249"/>
          </w:tcPr>
          <w:p>
            <w:r>
              <w:t>POST /api/chat</w:t>
            </w:r>
          </w:p>
        </w:tc>
        <w:tc>
          <w:tcPr>
            <w:tcW w:type="dxa" w:w="3249"/>
          </w:tcPr>
          <w:p>
            <w:r>
              <w:t>发送消息并流式返回</w:t>
            </w:r>
          </w:p>
        </w:tc>
        <w:tc>
          <w:tcPr>
            <w:tcW w:type="dxa" w:w="3249"/>
          </w:tcPr>
          <w:p>
            <w:r>
              <w:t>调用 Router 与模型，保存消息、输出流</w:t>
            </w:r>
          </w:p>
        </w:tc>
      </w:tr>
      <w:tr>
        <w:tc>
          <w:tcPr>
            <w:tcW w:type="dxa" w:w="3249"/>
          </w:tcPr>
          <w:p>
            <w:r>
              <w:t>GET /api/skills</w:t>
            </w:r>
          </w:p>
        </w:tc>
        <w:tc>
          <w:tcPr>
            <w:tcW w:type="dxa" w:w="3249"/>
          </w:tcPr>
          <w:p>
            <w:r>
              <w:t>Skill 列表</w:t>
            </w:r>
          </w:p>
        </w:tc>
        <w:tc>
          <w:tcPr>
            <w:tcW w:type="dxa" w:w="3249"/>
          </w:tcPr>
          <w:p>
            <w:r>
              <w:t>按分类返回启用中的 Skill 配置</w:t>
            </w:r>
          </w:p>
        </w:tc>
      </w:tr>
      <w:tr>
        <w:tc>
          <w:tcPr>
            <w:tcW w:type="dxa" w:w="3249"/>
          </w:tcPr>
          <w:p>
            <w:r>
              <w:t>POST /api/files/sign</w:t>
            </w:r>
          </w:p>
        </w:tc>
        <w:tc>
          <w:tcPr>
            <w:tcW w:type="dxa" w:w="3249"/>
          </w:tcPr>
          <w:p>
            <w:r>
              <w:t>获取上传签名</w:t>
            </w:r>
          </w:p>
        </w:tc>
        <w:tc>
          <w:tcPr>
            <w:tcW w:type="dxa" w:w="3249"/>
          </w:tcPr>
          <w:p>
            <w:r>
              <w:t>生成 OSS 直传所需签名或 STS</w:t>
            </w:r>
          </w:p>
        </w:tc>
      </w:tr>
      <w:tr>
        <w:tc>
          <w:tcPr>
            <w:tcW w:type="dxa" w:w="3249"/>
          </w:tcPr>
          <w:p>
            <w:r>
              <w:t>POST /api/files/complete</w:t>
            </w:r>
          </w:p>
        </w:tc>
        <w:tc>
          <w:tcPr>
            <w:tcW w:type="dxa" w:w="3249"/>
          </w:tcPr>
          <w:p>
            <w:r>
              <w:t>上传完成回调</w:t>
            </w:r>
          </w:p>
        </w:tc>
        <w:tc>
          <w:tcPr>
            <w:tcW w:type="dxa" w:w="3249"/>
          </w:tcPr>
          <w:p>
            <w:r>
              <w:t>写 attachments 元数据并触发解析</w:t>
            </w:r>
          </w:p>
        </w:tc>
      </w:tr>
      <w:tr>
        <w:tc>
          <w:tcPr>
            <w:tcW w:type="dxa" w:w="3249"/>
          </w:tcPr>
          <w:p>
            <w:r>
              <w:t>POST /api/exports</w:t>
            </w:r>
          </w:p>
        </w:tc>
        <w:tc>
          <w:tcPr>
            <w:tcW w:type="dxa" w:w="3249"/>
          </w:tcPr>
          <w:p>
            <w:r>
              <w:t>创建导出任务</w:t>
            </w:r>
          </w:p>
        </w:tc>
        <w:tc>
          <w:tcPr>
            <w:tcW w:type="dxa" w:w="3249"/>
          </w:tcPr>
          <w:p>
            <w:r>
              <w:t>将任务结果转为导出 job</w:t>
            </w:r>
          </w:p>
        </w:tc>
      </w:tr>
      <w:tr>
        <w:tc>
          <w:tcPr>
            <w:tcW w:type="dxa" w:w="3249"/>
          </w:tcPr>
          <w:p>
            <w:r>
              <w:t>GET /api/exports/:id</w:t>
            </w:r>
          </w:p>
        </w:tc>
        <w:tc>
          <w:tcPr>
            <w:tcW w:type="dxa" w:w="3249"/>
          </w:tcPr>
          <w:p>
            <w:r>
              <w:t>导出状态</w:t>
            </w:r>
          </w:p>
        </w:tc>
        <w:tc>
          <w:tcPr>
            <w:tcW w:type="dxa" w:w="3249"/>
          </w:tcPr>
          <w:p>
            <w:r>
              <w:t>查询导出结果</w:t>
            </w:r>
          </w:p>
        </w:tc>
      </w:tr>
    </w:tbl>
    <w:p>
      <w:pPr>
        <w:pStyle w:val="SectionCN"/>
        <w:spacing w:before="200" w:after="80"/>
      </w:pPr>
      <w:r>
        <w:t>5. 领域模型与数据库设计</w:t>
      </w:r>
    </w:p>
    <w:p>
      <w:pPr>
        <w:pStyle w:val="BodyText"/>
        <w:spacing w:line="324" w:lineRule="auto" w:after="60"/>
      </w:pPr>
      <w:r>
        <w:t>数据库采用 MySQL，ORM 建议使用 Prisma。主表包括 users、skills、tasks、messages、attachments、outputs、exports、llm_api_keys、llm_usage_logs、route_policies、jobs。</w:t>
      </w:r>
    </w:p>
    <w:p>
      <w:pPr>
        <w:pStyle w:val="BodyText"/>
        <w:spacing w:line="324" w:lineRule="auto" w:after="60"/>
      </w:pPr>
      <w:r>
        <w:t>设计原则：业务主数据与日志分离；文件内容不存数据库，只保存元数据与解析结果；模型调用与任务消息建立弱关联，便于统计成本与调试。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表名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用途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关键字段</w:t>
            </w:r>
          </w:p>
        </w:tc>
      </w:tr>
      <w:tr>
        <w:tc>
          <w:tcPr>
            <w:tcW w:type="dxa" w:w="3249"/>
          </w:tcPr>
          <w:p>
            <w:r>
              <w:t>users</w:t>
            </w:r>
          </w:p>
        </w:tc>
        <w:tc>
          <w:tcPr>
            <w:tcW w:type="dxa" w:w="3249"/>
          </w:tcPr>
          <w:p>
            <w:r>
              <w:t>用户主表</w:t>
            </w:r>
          </w:p>
        </w:tc>
        <w:tc>
          <w:tcPr>
            <w:tcW w:type="dxa" w:w="3249"/>
          </w:tcPr>
          <w:p>
            <w:r>
              <w:t>id, email, name, avatar, auth_provider, created_at</w:t>
            </w:r>
          </w:p>
        </w:tc>
      </w:tr>
      <w:tr>
        <w:tc>
          <w:tcPr>
            <w:tcW w:type="dxa" w:w="3249"/>
          </w:tcPr>
          <w:p>
            <w:r>
              <w:t>skills</w:t>
            </w:r>
          </w:p>
        </w:tc>
        <w:tc>
          <w:tcPr>
            <w:tcW w:type="dxa" w:w="3249"/>
          </w:tcPr>
          <w:p>
            <w:r>
              <w:t>Skill 配置表</w:t>
            </w:r>
          </w:p>
        </w:tc>
        <w:tc>
          <w:tcPr>
            <w:tcW w:type="dxa" w:w="3249"/>
          </w:tcPr>
          <w:p>
            <w:r>
              <w:t>id, code, category, name, config_json, enabled</w:t>
            </w:r>
          </w:p>
        </w:tc>
      </w:tr>
      <w:tr>
        <w:tc>
          <w:tcPr>
            <w:tcW w:type="dxa" w:w="3249"/>
          </w:tcPr>
          <w:p>
            <w:r>
              <w:t>tasks</w:t>
            </w:r>
          </w:p>
        </w:tc>
        <w:tc>
          <w:tcPr>
            <w:tcW w:type="dxa" w:w="3249"/>
          </w:tcPr>
          <w:p>
            <w:r>
              <w:t>任务主表</w:t>
            </w:r>
          </w:p>
        </w:tc>
        <w:tc>
          <w:tcPr>
            <w:tcW w:type="dxa" w:w="3249"/>
          </w:tcPr>
          <w:p>
            <w:r>
              <w:t>id, user_id, skill_id, title, status, latest_message_at</w:t>
            </w:r>
          </w:p>
        </w:tc>
      </w:tr>
      <w:tr>
        <w:tc>
          <w:tcPr>
            <w:tcW w:type="dxa" w:w="3249"/>
          </w:tcPr>
          <w:p>
            <w:r>
              <w:t>messages</w:t>
            </w:r>
          </w:p>
        </w:tc>
        <w:tc>
          <w:tcPr>
            <w:tcW w:type="dxa" w:w="3249"/>
          </w:tcPr>
          <w:p>
            <w:r>
              <w:t>消息表</w:t>
            </w:r>
          </w:p>
        </w:tc>
        <w:tc>
          <w:tcPr>
            <w:tcW w:type="dxa" w:w="3249"/>
          </w:tcPr>
          <w:p>
            <w:r>
              <w:t>id, task_id, role, content, status, structured_payload_json</w:t>
            </w:r>
          </w:p>
        </w:tc>
      </w:tr>
      <w:tr>
        <w:tc>
          <w:tcPr>
            <w:tcW w:type="dxa" w:w="3249"/>
          </w:tcPr>
          <w:p>
            <w:r>
              <w:t>attachments</w:t>
            </w:r>
          </w:p>
        </w:tc>
        <w:tc>
          <w:tcPr>
            <w:tcW w:type="dxa" w:w="3249"/>
          </w:tcPr>
          <w:p>
            <w:r>
              <w:t>附件表</w:t>
            </w:r>
          </w:p>
        </w:tc>
        <w:tc>
          <w:tcPr>
            <w:tcW w:type="dxa" w:w="3249"/>
          </w:tcPr>
          <w:p>
            <w:r>
              <w:t>id, task_id, oss_key, mime_type, parse_status, extracted_text</w:t>
            </w:r>
          </w:p>
        </w:tc>
      </w:tr>
      <w:tr>
        <w:tc>
          <w:tcPr>
            <w:tcW w:type="dxa" w:w="3249"/>
          </w:tcPr>
          <w:p>
            <w:r>
              <w:t>outputs</w:t>
            </w:r>
          </w:p>
        </w:tc>
        <w:tc>
          <w:tcPr>
            <w:tcW w:type="dxa" w:w="3249"/>
          </w:tcPr>
          <w:p>
            <w:r>
              <w:t>结果表</w:t>
            </w:r>
          </w:p>
        </w:tc>
        <w:tc>
          <w:tcPr>
            <w:tcW w:type="dxa" w:w="3249"/>
          </w:tcPr>
          <w:p>
            <w:r>
              <w:t>id, task_id, output_type, markdown_content, html_content, json_content</w:t>
            </w:r>
          </w:p>
        </w:tc>
      </w:tr>
      <w:tr>
        <w:tc>
          <w:tcPr>
            <w:tcW w:type="dxa" w:w="3249"/>
          </w:tcPr>
          <w:p>
            <w:r>
              <w:t>exports</w:t>
            </w:r>
          </w:p>
        </w:tc>
        <w:tc>
          <w:tcPr>
            <w:tcW w:type="dxa" w:w="3249"/>
          </w:tcPr>
          <w:p>
            <w:r>
              <w:t>导出表</w:t>
            </w:r>
          </w:p>
        </w:tc>
        <w:tc>
          <w:tcPr>
            <w:tcW w:type="dxa" w:w="3249"/>
          </w:tcPr>
          <w:p>
            <w:r>
              <w:t>id, task_id, format, oss_key, status</w:t>
            </w:r>
          </w:p>
        </w:tc>
      </w:tr>
      <w:tr>
        <w:tc>
          <w:tcPr>
            <w:tcW w:type="dxa" w:w="3249"/>
          </w:tcPr>
          <w:p>
            <w:r>
              <w:t>llm_api_keys</w:t>
            </w:r>
          </w:p>
        </w:tc>
        <w:tc>
          <w:tcPr>
            <w:tcW w:type="dxa" w:w="3249"/>
          </w:tcPr>
          <w:p>
            <w:r>
              <w:t>模型 key 池</w:t>
            </w:r>
          </w:p>
        </w:tc>
        <w:tc>
          <w:tcPr>
            <w:tcW w:type="dxa" w:w="3249"/>
          </w:tcPr>
          <w:p>
            <w:r>
              <w:t>id, provider, model_pattern, api_key_encrypted, rpm_limit, max_concurrency, status</w:t>
            </w:r>
          </w:p>
        </w:tc>
      </w:tr>
      <w:tr>
        <w:tc>
          <w:tcPr>
            <w:tcW w:type="dxa" w:w="3249"/>
          </w:tcPr>
          <w:p>
            <w:r>
              <w:t>llm_usage_logs</w:t>
            </w:r>
          </w:p>
        </w:tc>
        <w:tc>
          <w:tcPr>
            <w:tcW w:type="dxa" w:w="3249"/>
          </w:tcPr>
          <w:p>
            <w:r>
              <w:t>模型调用日志</w:t>
            </w:r>
          </w:p>
        </w:tc>
        <w:tc>
          <w:tcPr>
            <w:tcW w:type="dxa" w:w="3249"/>
          </w:tcPr>
          <w:p>
            <w:r>
              <w:t>id, task_id, message_id, provider, model, key_id, tokens, latency_ms, status</w:t>
            </w:r>
          </w:p>
        </w:tc>
      </w:tr>
      <w:tr>
        <w:tc>
          <w:tcPr>
            <w:tcW w:type="dxa" w:w="3249"/>
          </w:tcPr>
          <w:p>
            <w:r>
              <w:t>route_policies</w:t>
            </w:r>
          </w:p>
        </w:tc>
        <w:tc>
          <w:tcPr>
            <w:tcW w:type="dxa" w:w="3249"/>
          </w:tcPr>
          <w:p>
            <w:r>
              <w:t>路由策略</w:t>
            </w:r>
          </w:p>
        </w:tc>
        <w:tc>
          <w:tcPr>
            <w:tcW w:type="dxa" w:w="3249"/>
          </w:tcPr>
          <w:p>
            <w:r>
              <w:t>scene, primary_model, fallback_models, constraints</w:t>
            </w:r>
          </w:p>
        </w:tc>
      </w:tr>
      <w:tr>
        <w:tc>
          <w:tcPr>
            <w:tcW w:type="dxa" w:w="3249"/>
          </w:tcPr>
          <w:p>
            <w:r>
              <w:t>jobs</w:t>
            </w:r>
          </w:p>
        </w:tc>
        <w:tc>
          <w:tcPr>
            <w:tcW w:type="dxa" w:w="3249"/>
          </w:tcPr>
          <w:p>
            <w:r>
              <w:t>异步任务表</w:t>
            </w:r>
          </w:p>
        </w:tc>
        <w:tc>
          <w:tcPr>
            <w:tcW w:type="dxa" w:w="3249"/>
          </w:tcPr>
          <w:p>
            <w:r>
              <w:t>id, type, payload_json, status, retry_count</w:t>
            </w:r>
          </w:p>
        </w:tc>
      </w:tr>
    </w:tbl>
    <w:p>
      <w:pPr>
        <w:pStyle w:val="SectionCN"/>
        <w:spacing w:before="200" w:after="80"/>
      </w:pPr>
      <w:r>
        <w:t>6. LLM Router 详细设计</w:t>
      </w:r>
    </w:p>
    <w:p>
      <w:pPr>
        <w:pStyle w:val="BodyText"/>
        <w:spacing w:line="324" w:lineRule="auto" w:after="60"/>
      </w:pPr>
      <w:r>
        <w:t>LLM Router 是整个系统的核心基础设施模块，职责是统一管理多 provider、多模型、多 API key 的接入、限流、路由、熔断、失败重试与日志。业务代码不得直接持有具体 key，只能通过 Router 选择模型调用能力。</w:t>
      </w:r>
    </w:p>
    <w:p>
      <w:pPr>
        <w:pStyle w:val="BodyText"/>
        <w:spacing w:line="324" w:lineRule="auto" w:after="60"/>
      </w:pPr>
      <w:r>
        <w:t>Router 的输入包括：场景标识 scene、期望输出类型、消息上下文、文件解析摘要、可选约束（如低成本优先/高质量优先/长上下文优先）。输出包括：流式文本结果或结构化结果，以及调用日志。</w:t>
      </w:r>
    </w:p>
    <w:p>
      <w:pPr>
        <w:pStyle w:val="BodyText"/>
        <w:spacing w:line="324" w:lineRule="auto" w:after="60"/>
      </w:pPr>
      <w:r>
        <w:t>路由层级依次为：scene -&gt; model policy -&gt; provider candidates -&gt; key candidates。最终选择某个 key 执行真实请求。</w:t>
      </w:r>
    </w:p>
    <w:p>
      <w:pPr>
        <w:pStyle w:val="Section2CN"/>
        <w:spacing w:before="160" w:after="80"/>
      </w:pPr>
      <w:r>
        <w:t>6.1 核心模块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职责</w:t>
            </w:r>
          </w:p>
        </w:tc>
      </w:tr>
      <w:tr>
        <w:tc>
          <w:tcPr>
            <w:tcW w:type="dxa" w:w="4873"/>
          </w:tcPr>
          <w:p>
            <w:r>
              <w:t>Provider Adapter</w:t>
            </w:r>
          </w:p>
        </w:tc>
        <w:tc>
          <w:tcPr>
            <w:tcW w:type="dxa" w:w="4873"/>
          </w:tcPr>
          <w:p>
            <w:r>
              <w:t>屏蔽不同 provider 的接口差异，统一 chat/stream/generateObject 能力</w:t>
            </w:r>
          </w:p>
        </w:tc>
      </w:tr>
      <w:tr>
        <w:tc>
          <w:tcPr>
            <w:tcW w:type="dxa" w:w="4873"/>
          </w:tcPr>
          <w:p>
            <w:r>
              <w:t>Key Registry</w:t>
            </w:r>
          </w:p>
        </w:tc>
        <w:tc>
          <w:tcPr>
            <w:tcW w:type="dxa" w:w="4873"/>
          </w:tcPr>
          <w:p>
            <w:r>
              <w:t>从数据库加载 key 池与限额配置，并在内存中建立索引</w:t>
            </w:r>
          </w:p>
        </w:tc>
      </w:tr>
      <w:tr>
        <w:tc>
          <w:tcPr>
            <w:tcW w:type="dxa" w:w="4873"/>
          </w:tcPr>
          <w:p>
            <w:r>
              <w:t>Rate Limiter</w:t>
            </w:r>
          </w:p>
        </w:tc>
        <w:tc>
          <w:tcPr>
            <w:tcW w:type="dxa" w:w="4873"/>
          </w:tcPr>
          <w:p>
            <w:r>
              <w:t>基于 Redis + Bottleneck/自研 token 桶控制 rpm、并发和冷却</w:t>
            </w:r>
          </w:p>
        </w:tc>
      </w:tr>
      <w:tr>
        <w:tc>
          <w:tcPr>
            <w:tcW w:type="dxa" w:w="4873"/>
          </w:tcPr>
          <w:p>
            <w:r>
              <w:t>Policy Engine</w:t>
            </w:r>
          </w:p>
        </w:tc>
        <w:tc>
          <w:tcPr>
            <w:tcW w:type="dxa" w:w="4873"/>
          </w:tcPr>
          <w:p>
            <w:r>
              <w:t>根据 scene、输出类型和成本策略生成候选模型序列</w:t>
            </w:r>
          </w:p>
        </w:tc>
      </w:tr>
      <w:tr>
        <w:tc>
          <w:tcPr>
            <w:tcW w:type="dxa" w:w="4873"/>
          </w:tcPr>
          <w:p>
            <w:r>
              <w:t>Circuit Breaker</w:t>
            </w:r>
          </w:p>
        </w:tc>
        <w:tc>
          <w:tcPr>
            <w:tcW w:type="dxa" w:w="4873"/>
          </w:tcPr>
          <w:p>
            <w:r>
              <w:t>当 key 或 provider 连续错误时熔断并进入 cooldown</w:t>
            </w:r>
          </w:p>
        </w:tc>
      </w:tr>
      <w:tr>
        <w:tc>
          <w:tcPr>
            <w:tcW w:type="dxa" w:w="4873"/>
          </w:tcPr>
          <w:p>
            <w:r>
              <w:t>Usage Logger</w:t>
            </w:r>
          </w:p>
        </w:tc>
        <w:tc>
          <w:tcPr>
            <w:tcW w:type="dxa" w:w="4873"/>
          </w:tcPr>
          <w:p>
            <w:r>
              <w:t>记录 tokens、耗时、错误码、成本估算和追踪 ID</w:t>
            </w:r>
          </w:p>
        </w:tc>
      </w:tr>
    </w:tbl>
    <w:p>
      <w:pPr>
        <w:pStyle w:val="Section2CN"/>
        <w:spacing w:before="160" w:after="80"/>
      </w:pPr>
      <w:r>
        <w:t>6.2 调度算法建议</w:t>
      </w:r>
    </w:p>
    <w:p>
      <w:pPr>
        <w:pStyle w:val="BodyText"/>
        <w:spacing w:line="324" w:lineRule="auto" w:after="60"/>
      </w:pPr>
      <w:r>
        <w:t>首版采用“可用优先 + 加权最少并发 + 冷却剔除 + 失败回退”的组合策略，而不直接使用简单 round-robin。</w:t>
      </w:r>
    </w:p>
    <w:p>
      <w:pPr>
        <w:pStyle w:val="BodyText"/>
        <w:spacing w:line="324" w:lineRule="auto" w:after="60"/>
      </w:pPr>
      <w:r>
        <w:t>选 key 时先过滤：状态非 active、处于 cooldown、当前并发超过 max_concurrency、剩余 rpm 预算不足、模型不匹配；再对剩余 key 计算得分：weight - inFlightPenalty - latencyPenalty - errorPenalty；选择分数最高者。</w:t>
      </w:r>
    </w:p>
    <w:p>
      <w:pPr>
        <w:pStyle w:val="BodyText"/>
        <w:spacing w:line="324" w:lineRule="auto" w:after="60"/>
      </w:pPr>
      <w:r>
        <w:t>失败重试规则：对于 429、5xx、timeout 等暂时性错误，最多重试 1-2 次，优先在同 provider 不同 key 中切换，必要时切换 fallback model 或 fallback provider。</w:t>
      </w:r>
    </w:p>
    <w:p>
      <w:pPr>
        <w:pStyle w:val="Section2CN"/>
        <w:spacing w:before="160" w:after="80"/>
      </w:pPr>
      <w:r>
        <w:t>6.3 路由策略表示例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场景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主模型策略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备选策略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备注</w:t>
            </w:r>
          </w:p>
        </w:tc>
      </w:tr>
      <w:tr>
        <w:tc>
          <w:tcPr>
            <w:tcW w:type="dxa" w:w="2436"/>
          </w:tcPr>
          <w:p>
            <w:r>
              <w:t>jd_generate</w:t>
            </w:r>
          </w:p>
        </w:tc>
        <w:tc>
          <w:tcPr>
            <w:tcW w:type="dxa" w:w="2436"/>
          </w:tcPr>
          <w:p>
            <w:r>
              <w:t>高稳定中成本模型</w:t>
            </w:r>
          </w:p>
        </w:tc>
        <w:tc>
          <w:tcPr>
            <w:tcW w:type="dxa" w:w="2436"/>
          </w:tcPr>
          <w:p>
            <w:r>
              <w:t>低成本模型 -&gt; 高质量模型</w:t>
            </w:r>
          </w:p>
        </w:tc>
        <w:tc>
          <w:tcPr>
            <w:tcW w:type="dxa" w:w="2436"/>
          </w:tcPr>
          <w:p>
            <w:r>
              <w:t>重输出规范性</w:t>
            </w:r>
          </w:p>
        </w:tc>
      </w:tr>
      <w:tr>
        <w:tc>
          <w:tcPr>
            <w:tcW w:type="dxa" w:w="2436"/>
          </w:tcPr>
          <w:p>
            <w:r>
              <w:t>resume_screening</w:t>
            </w:r>
          </w:p>
        </w:tc>
        <w:tc>
          <w:tcPr>
            <w:tcW w:type="dxa" w:w="2436"/>
          </w:tcPr>
          <w:p>
            <w:r>
              <w:t>结构化输出模型</w:t>
            </w:r>
          </w:p>
        </w:tc>
        <w:tc>
          <w:tcPr>
            <w:tcW w:type="dxa" w:w="2436"/>
          </w:tcPr>
          <w:p>
            <w:r>
              <w:t>高上下文模型 -&gt; 通用模型</w:t>
            </w:r>
          </w:p>
        </w:tc>
        <w:tc>
          <w:tcPr>
            <w:tcW w:type="dxa" w:w="2436"/>
          </w:tcPr>
          <w:p>
            <w:r>
              <w:t>重一致性和表格化</w:t>
            </w:r>
          </w:p>
        </w:tc>
      </w:tr>
      <w:tr>
        <w:tc>
          <w:tcPr>
            <w:tcW w:type="dxa" w:w="2436"/>
          </w:tcPr>
          <w:p>
            <w:r>
              <w:t>video_assessment</w:t>
            </w:r>
          </w:p>
        </w:tc>
        <w:tc>
          <w:tcPr>
            <w:tcW w:type="dxa" w:w="2436"/>
          </w:tcPr>
          <w:p>
            <w:r>
              <w:t>高上下文模型</w:t>
            </w:r>
          </w:p>
        </w:tc>
        <w:tc>
          <w:tcPr>
            <w:tcW w:type="dxa" w:w="2436"/>
          </w:tcPr>
          <w:p>
            <w:r>
              <w:t>通用模型</w:t>
            </w:r>
          </w:p>
        </w:tc>
        <w:tc>
          <w:tcPr>
            <w:tcW w:type="dxa" w:w="2436"/>
          </w:tcPr>
          <w:p>
            <w:r>
              <w:t>重长文本处理</w:t>
            </w:r>
          </w:p>
        </w:tc>
      </w:tr>
      <w:tr>
        <w:tc>
          <w:tcPr>
            <w:tcW w:type="dxa" w:w="2436"/>
          </w:tcPr>
          <w:p>
            <w:r>
              <w:t>policy_qa</w:t>
            </w:r>
          </w:p>
        </w:tc>
        <w:tc>
          <w:tcPr>
            <w:tcW w:type="dxa" w:w="2436"/>
          </w:tcPr>
          <w:p>
            <w:r>
              <w:t>低成本通用模型</w:t>
            </w:r>
          </w:p>
        </w:tc>
        <w:tc>
          <w:tcPr>
            <w:tcW w:type="dxa" w:w="2436"/>
          </w:tcPr>
          <w:p>
            <w:r>
              <w:t>高质量模型</w:t>
            </w:r>
          </w:p>
        </w:tc>
        <w:tc>
          <w:tcPr>
            <w:tcW w:type="dxa" w:w="2436"/>
          </w:tcPr>
          <w:p>
            <w:r>
              <w:t>重成本控制</w:t>
            </w:r>
          </w:p>
        </w:tc>
      </w:tr>
      <w:tr>
        <w:tc>
          <w:tcPr>
            <w:tcW w:type="dxa" w:w="2436"/>
          </w:tcPr>
          <w:p>
            <w:r>
              <w:t>contract_review</w:t>
            </w:r>
          </w:p>
        </w:tc>
        <w:tc>
          <w:tcPr>
            <w:tcW w:type="dxa" w:w="2436"/>
          </w:tcPr>
          <w:p>
            <w:r>
              <w:t>高质量高上下文模型</w:t>
            </w:r>
          </w:p>
        </w:tc>
        <w:tc>
          <w:tcPr>
            <w:tcW w:type="dxa" w:w="2436"/>
          </w:tcPr>
          <w:p>
            <w:r>
              <w:t>次高质量模型</w:t>
            </w:r>
          </w:p>
        </w:tc>
        <w:tc>
          <w:tcPr>
            <w:tcW w:type="dxa" w:w="2436"/>
          </w:tcPr>
          <w:p>
            <w:r>
              <w:t>重准确与风控</w:t>
            </w:r>
          </w:p>
        </w:tc>
      </w:tr>
    </w:tbl>
    <w:p>
      <w:pPr>
        <w:pStyle w:val="SectionCN"/>
        <w:spacing w:before="200" w:after="80"/>
      </w:pPr>
      <w:r>
        <w:t>7. 消息流与上下文管理</w:t>
      </w:r>
    </w:p>
    <w:p>
      <w:pPr>
        <w:pStyle w:val="BodyText"/>
        <w:spacing w:line="324" w:lineRule="auto" w:after="60"/>
      </w:pPr>
      <w:r>
        <w:t>每个任务的消息流包括 system、user、assistant、tool、status、result-block 六类消息。数据库中保留完整消息，但发送给模型时需要经过上下文裁剪器。</w:t>
      </w:r>
    </w:p>
    <w:p>
      <w:pPr>
        <w:pStyle w:val="BodyText"/>
        <w:spacing w:line="324" w:lineRule="auto" w:after="60"/>
      </w:pPr>
      <w:r>
        <w:t>上下文裁剪策略：保留最近 N 轮对话、保留用户上传资料摘要、保留任务级固定指令、保留最近的结构化结果摘要。超长任务通过定时摘要消息压缩历史。</w:t>
      </w:r>
    </w:p>
    <w:p>
      <w:pPr>
        <w:pStyle w:val="BodyText"/>
        <w:spacing w:line="324" w:lineRule="auto" w:after="60"/>
      </w:pPr>
      <w:r>
        <w:t>对所有多轮对话任务，必须有 request_id、task_id、message_id 三层 ID，用于日志追踪。</w:t>
      </w:r>
    </w:p>
    <w:p>
      <w:pPr>
        <w:pStyle w:val="SectionCN"/>
        <w:spacing w:before="200" w:after="80"/>
      </w:pPr>
      <w:r>
        <w:t>8. 文件上传与解析架构</w:t>
      </w:r>
    </w:p>
    <w:p>
      <w:pPr>
        <w:pStyle w:val="BodyText"/>
        <w:spacing w:line="324" w:lineRule="auto" w:after="60"/>
      </w:pPr>
      <w:r>
        <w:t>前端不通过应用服务器转存文件，而是先向后端申请 OSS 上传签名或 STS，随后直传 OSS。上传完成后调用 complete 接口登记元数据。</w:t>
      </w:r>
    </w:p>
    <w:p>
      <w:pPr>
        <w:pStyle w:val="BodyText"/>
        <w:spacing w:line="324" w:lineRule="auto" w:after="60"/>
      </w:pPr>
      <w:r>
        <w:t>附件解析由 BullMQ 异步处理。解析器根据 mime_type 选择 PDF、DOCX、TXT、图片 OCR 等不同管线，产出 extracted_text、页面信息、摘要和状态。</w:t>
      </w:r>
    </w:p>
    <w:p>
      <w:pPr>
        <w:pStyle w:val="BodyText"/>
        <w:spacing w:line="324" w:lineRule="auto" w:after="60"/>
      </w:pPr>
      <w:r>
        <w:t>解析状态包括 uploaded、queued、parsing、ready、failed。会话区在附件 ready 后提示“资料已可用于分析”。</w:t>
      </w:r>
    </w:p>
    <w:p>
      <w:pPr>
        <w:pStyle w:val="SectionCN"/>
        <w:spacing w:before="200" w:after="80"/>
      </w:pPr>
      <w:r>
        <w:t>9. 导出与异步任务系统</w:t>
      </w:r>
    </w:p>
    <w:p>
      <w:pPr>
        <w:pStyle w:val="BodyText"/>
        <w:spacing w:line="324" w:lineRule="auto" w:after="60"/>
      </w:pPr>
      <w:r>
        <w:t>导出、批量简历分析、复杂文件解析均采用异步 job。BullMQ 负责队列调度，MySQL 中 jobs 表用于可视化追踪和幂等控制。</w:t>
      </w:r>
    </w:p>
    <w:p>
      <w:pPr>
        <w:pStyle w:val="BodyText"/>
        <w:spacing w:line="324" w:lineRule="auto" w:after="60"/>
      </w:pPr>
      <w:r>
        <w:t>导出服务将任务的最新结构化结果转为 HTML/Markdown，再渲染为 PDF；导出完成后的文件写入 OSS，前端轮询导出状态并提供下载链接。</w:t>
      </w:r>
    </w:p>
    <w:p>
      <w:pPr>
        <w:pStyle w:val="SectionCN"/>
        <w:spacing w:before="200" w:after="80"/>
      </w:pPr>
      <w:r>
        <w:t>10. 鉴权、安全与密钥管理</w:t>
      </w:r>
    </w:p>
    <w:p>
      <w:pPr>
        <w:pStyle w:val="BodyText"/>
        <w:spacing w:line="324" w:lineRule="auto" w:after="60"/>
      </w:pPr>
      <w:r>
        <w:t>鉴权可使用 Auth.js 或企业内部 SSO。所有 API 均校验会话身份，任务和附件按 user_id 进行隔离。</w:t>
      </w:r>
    </w:p>
    <w:p>
      <w:pPr>
        <w:pStyle w:val="BodyText"/>
        <w:spacing w:line="324" w:lineRule="auto" w:after="60"/>
      </w:pPr>
      <w:r>
        <w:t>模型 API key 必须加密存储，应用运行时解密到内存，不落日志。管理后台提供启停、备注、权重、限额配置，不展示完整 key。</w:t>
      </w:r>
    </w:p>
    <w:p>
      <w:pPr>
        <w:pStyle w:val="BodyText"/>
        <w:spacing w:line="324" w:lineRule="auto" w:after="60"/>
      </w:pPr>
      <w:r>
        <w:t>OSS 上传签名要设置短时效，并对上传路径按用户和任务分区。</w:t>
      </w:r>
    </w:p>
    <w:p>
      <w:pPr>
        <w:pStyle w:val="SectionCN"/>
        <w:spacing w:before="200" w:after="80"/>
      </w:pPr>
      <w:r>
        <w:t>11. 监控、日志与告警</w:t>
      </w:r>
    </w:p>
    <w:p>
      <w:pPr>
        <w:pStyle w:val="BodyText"/>
        <w:spacing w:line="324" w:lineRule="auto" w:after="60"/>
      </w:pPr>
      <w:r>
        <w:t>建议接入结构化日志与指标平台。最少需要采集：接口耗时、首 token 时间、provider 成功率、key 错误率、队列堆积、导出成功率、解析成功率。</w:t>
      </w:r>
    </w:p>
    <w:p>
      <w:pPr>
        <w:pStyle w:val="BodyText"/>
        <w:spacing w:line="324" w:lineRule="auto" w:after="60"/>
      </w:pPr>
      <w:r>
        <w:t>错误告警优先级：P1 为全站不可用、Router 全部失败、数据库不可写；P2 为某 provider 大面积失败、导出任务失败率过高；P3 为个别 Skill 错误率异常。</w:t>
      </w:r>
    </w:p>
    <w:p>
      <w:pPr>
        <w:pStyle w:val="SectionCN"/>
        <w:spacing w:before="200" w:after="80"/>
      </w:pPr>
      <w:r>
        <w:t>12. 部署与环境</w:t>
      </w:r>
    </w:p>
    <w:p>
      <w:pPr>
        <w:pStyle w:val="BodyText"/>
        <w:spacing w:line="324" w:lineRule="auto" w:after="60"/>
      </w:pPr>
      <w:r>
        <w:t>生产建议采用容器化部署。至少拆分为两个运行单元：web 应用实例和 worker 实例。web 处理页面、实时 API 与流式会话；worker 处理解析、导出、长任务。</w:t>
      </w:r>
    </w:p>
    <w:p>
      <w:pPr>
        <w:pStyle w:val="BodyText"/>
        <w:spacing w:line="324" w:lineRule="auto" w:after="60"/>
      </w:pPr>
      <w:r>
        <w:t>环境变量分类包括：应用配置、MySQL、Redis、OSS、鉴权、加密密钥、provider API keys。必须提供 .env.example。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7083"/>
        <w:sz w:val="18"/>
      </w:rPr>
      <w:t>HORO AI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Title"/>
    <w:rPr>
      <w:rFonts w:ascii="Arial" w:hAnsi="Arial" w:eastAsia="Microsoft YaHei"/>
      <w:b/>
      <w:color w:val="0B4F6C"/>
      <w:sz w:val="48"/>
    </w:rPr>
  </w:style>
  <w:style w:type="paragraph" w:customStyle="1" w:styleId="SubTitleCN">
    <w:name w:val="SubTitleCN"/>
    <w:basedOn w:val="Subtitle"/>
    <w:rPr>
      <w:rFonts w:ascii="Arial" w:hAnsi="Arial" w:eastAsia="Microsoft YaHei"/>
      <w:b w:val="0"/>
      <w:color w:val="5B7083"/>
      <w:sz w:val="22"/>
    </w:rPr>
  </w:style>
  <w:style w:type="paragraph" w:customStyle="1" w:styleId="SectionCN">
    <w:name w:val="SectionCN"/>
    <w:basedOn w:val="Heading1"/>
    <w:rPr>
      <w:rFonts w:ascii="Arial" w:hAnsi="Arial" w:eastAsia="Microsoft YaHei"/>
      <w:b/>
      <w:color w:val="113B5C"/>
      <w:sz w:val="32"/>
    </w:rPr>
  </w:style>
  <w:style w:type="paragraph" w:customStyle="1" w:styleId="Section2CN">
    <w:name w:val="Section2CN"/>
    <w:basedOn w:val="Heading2"/>
    <w:rPr>
      <w:rFonts w:ascii="Arial" w:hAnsi="Arial" w:eastAsia="Microsoft YaHei"/>
      <w:b/>
      <w:color w:val="144C7A"/>
      <w:sz w:val="26"/>
    </w:rPr>
  </w:style>
  <w:style w:type="paragraph" w:customStyle="1" w:styleId="Section3CN">
    <w:name w:val="Section3CN"/>
    <w:basedOn w:val="Heading3"/>
    <w:rPr>
      <w:rFonts w:ascii="Arial" w:hAnsi="Arial" w:eastAsia="Microsoft YaHei"/>
      <w:b/>
      <w:color w:val="1A5F7A"/>
      <w:sz w:val="23"/>
    </w:rPr>
  </w:style>
  <w:style w:type="paragraph" w:customStyle="1" w:styleId="CalloutCN">
    <w:name w:val="CalloutCN"/>
    <w:basedOn w:val="IntenseQuote"/>
    <w:rPr>
      <w:rFonts w:ascii="Arial" w:hAnsi="Arial" w:eastAsia="Microsoft YaHei"/>
      <w:b w:val="0"/>
      <w:color w:val="183247"/>
      <w:sz w:val="21"/>
    </w:rPr>
  </w:style>
  <w:style w:type="paragraph" w:customStyle="1" w:styleId="SmallCN">
    <w:name w:val="SmallCN"/>
    <w:basedOn w:val="BodyText"/>
    <w:rPr>
      <w:rFonts w:ascii="Arial" w:hAnsi="Arial" w:eastAsia="Microsoft YaHei"/>
      <w:b w:val="0"/>
      <w:color w:val="5B708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