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spacing w:before="2400" w:after="200"/>
        <w:jc w:val="center"/>
      </w:pPr>
      <w:r>
        <w:t>HORO AI Agent UI / UX 设计规范文档（完整版）</w:t>
      </w:r>
    </w:p>
    <w:p>
      <w:pPr>
        <w:pStyle w:val="SubTitleCN"/>
        <w:spacing w:after="360"/>
        <w:jc w:val="center"/>
      </w:pPr>
      <w:r>
        <w:t>深色工作台、多轮对话任务、Skill 化交互与结果沉淀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t>文档版本</w:t>
            </w:r>
          </w:p>
        </w:tc>
        <w:tc>
          <w:tcPr>
            <w:tcW w:type="dxa" w:w="5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BFE"/>
          </w:tcPr>
          <w:p>
            <w:r>
              <w:t>V1.0 重新生成版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t>适用对象</w:t>
            </w:r>
          </w:p>
        </w:tc>
        <w:tc>
          <w:tcPr>
            <w:tcW w:type="dxa" w:w="5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产品、设计、前端、后端、测试、运维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t>编制目的</w:t>
            </w:r>
          </w:p>
        </w:tc>
        <w:tc>
          <w:tcPr>
            <w:tcW w:type="dxa" w:w="55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用于指导 HORO AI Agent 的产品定义、工程实现与交付协同</w:t>
            </w:r>
          </w:p>
        </w:tc>
      </w:tr>
    </w:tbl>
    <w:p/>
    <w:p>
      <w:pPr>
        <w:pStyle w:val="CalloutCN"/>
        <w:spacing w:before="160" w:after="0"/>
        <w:ind w:left="227" w:right="227"/>
      </w:pPr>
      <w:r>
        <w:rPr>
          <w:b/>
        </w:rPr>
        <w:t>说明：</w:t>
      </w:r>
      <w:r>
        <w:t>本套文档基于已确认的官网信息、工作台截图与当前产品约束整理而成，按“全 Skill 覆盖、所有任务均为多轮对话、Next.js 全栈、MySQL、阿里云 OSS、自研 LLM Router”重构。</w:t>
      </w:r>
    </w:p>
    <w:p>
      <w:r>
        <w:br w:type="page"/>
      </w:r>
    </w:p>
    <w:p>
      <w:pPr>
        <w:pStyle w:val="SectionCN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更新域后生成目录</w:t>
      </w:r>
    </w:p>
    <w:p>
      <w:r>
        <w:br w:type="page"/>
      </w:r>
    </w:p>
    <w:p>
      <w:pPr>
        <w:pStyle w:val="SectionCN"/>
        <w:spacing w:before="200" w:after="80"/>
      </w:pPr>
      <w:r>
        <w:t>1. 设计目标</w:t>
      </w:r>
    </w:p>
    <w:p>
      <w:pPr>
        <w:pStyle w:val="BodyText"/>
        <w:spacing w:line="324" w:lineRule="auto" w:after="60"/>
      </w:pPr>
      <w:r>
        <w:t>界面目标不是做成“炫酷聊天工具”，而是做成“专业、稳重、可持续工作的 HR AI 工作台”。视觉语言要帮助用户快速理解当前任务、当前 Skill、当前结果状态和下一步操作。</w:t>
      </w:r>
    </w:p>
    <w:p>
      <w:pPr>
        <w:pStyle w:val="BodyText"/>
        <w:spacing w:line="324" w:lineRule="auto" w:after="60"/>
      </w:pPr>
      <w:r>
        <w:t>整体风格以深色背景为基础，配合蓝青色强调色，形成专业、科技感但不轻浮的视觉气质。所有页面必须优先考虑高频办公场景下的可读性、状态区分和长时间使用舒适度。</w:t>
      </w:r>
    </w:p>
    <w:p>
      <w:pPr>
        <w:pStyle w:val="SectionCN"/>
        <w:spacing w:before="200" w:after="80"/>
      </w:pPr>
      <w:r>
        <w:t>2. 品牌与视觉原则</w:t>
      </w:r>
    </w:p>
    <w:p>
      <w:pPr>
        <w:pStyle w:val="BodyText"/>
        <w:spacing w:line="324" w:lineRule="auto" w:after="60"/>
      </w:pPr>
      <w:r>
        <w:t>主背景使用接近深海军蓝的颜色，层级通过明度差而非强对比边框来区分。卡片、抽屉、消息块与输入框分别使用不同深浅层级。</w:t>
      </w:r>
    </w:p>
    <w:p>
      <w:pPr>
        <w:pStyle w:val="BodyText"/>
        <w:spacing w:line="324" w:lineRule="auto" w:after="60"/>
      </w:pPr>
      <w:r>
        <w:t>强调色使用冷调蓝青色，适用于按钮、选中态、Skill 图标、关键链接和进度指示。错误用暖红、成功用绿色，但饱和度要克制。</w:t>
      </w:r>
    </w:p>
    <w:p>
      <w:pPr>
        <w:pStyle w:val="BodyText"/>
        <w:spacing w:line="324" w:lineRule="auto" w:after="60"/>
      </w:pPr>
      <w:r>
        <w:t>排版以“信息层级清晰、留白稳定、交互密度适中”为原则。标题不追求过大，重点依靠布局和重复模式建立熟悉感。</w:t>
      </w:r>
    </w:p>
    <w:p>
      <w:pPr>
        <w:pStyle w:val="SectionCN"/>
        <w:spacing w:before="200" w:after="80"/>
      </w:pPr>
      <w:r>
        <w:t>3. 页面结构规范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页面</w:t>
            </w:r>
          </w:p>
        </w:tc>
        <w:tc>
          <w:tcPr>
            <w:tcW w:type="dxa" w:w="62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组成</w:t>
            </w:r>
          </w:p>
        </w:tc>
      </w:tr>
      <w:tr>
        <w:tc>
          <w:tcPr>
            <w:tcW w:type="dxa" w:w="4873"/>
          </w:tcPr>
          <w:p>
            <w:r>
              <w:t>官网首页</w:t>
            </w:r>
          </w:p>
        </w:tc>
        <w:tc>
          <w:tcPr>
            <w:tcW w:type="dxa" w:w="4873"/>
          </w:tcPr>
          <w:p>
            <w:r>
              <w:t>Hero、价值卖点、Skill 分类、流程说明、FAQ、CTA</w:t>
            </w:r>
          </w:p>
        </w:tc>
      </w:tr>
      <w:tr>
        <w:tc>
          <w:tcPr>
            <w:tcW w:type="dxa" w:w="4873"/>
          </w:tcPr>
          <w:p>
            <w:r>
              <w:t>登录/注册页</w:t>
            </w:r>
          </w:p>
        </w:tc>
        <w:tc>
          <w:tcPr>
            <w:tcW w:type="dxa" w:w="4873"/>
          </w:tcPr>
          <w:p>
            <w:r>
              <w:t>品牌区、表单区、辅助说明</w:t>
            </w:r>
          </w:p>
        </w:tc>
      </w:tr>
      <w:tr>
        <w:tc>
          <w:tcPr>
            <w:tcW w:type="dxa" w:w="4873"/>
          </w:tcPr>
          <w:p>
            <w:r>
              <w:t>Workspace 欢迎态</w:t>
            </w:r>
          </w:p>
        </w:tc>
        <w:tc>
          <w:tcPr>
            <w:tcW w:type="dxa" w:w="4873"/>
          </w:tcPr>
          <w:p>
            <w:r>
              <w:t>标题、推荐 Skill 宫格、引导文案、统一输入框</w:t>
            </w:r>
          </w:p>
        </w:tc>
      </w:tr>
      <w:tr>
        <w:tc>
          <w:tcPr>
            <w:tcW w:type="dxa" w:w="4873"/>
          </w:tcPr>
          <w:p>
            <w:r>
              <w:t>Workspace 会话态</w:t>
            </w:r>
          </w:p>
        </w:tc>
        <w:tc>
          <w:tcPr>
            <w:tcW w:type="dxa" w:w="4873"/>
          </w:tcPr>
          <w:p>
            <w:r>
              <w:t>任务栏、会话区、Skill 头部、消息流、输入区</w:t>
            </w:r>
          </w:p>
        </w:tc>
      </w:tr>
      <w:tr>
        <w:tc>
          <w:tcPr>
            <w:tcW w:type="dxa" w:w="4873"/>
          </w:tcPr>
          <w:p>
            <w:r>
              <w:t>Skill 抽屉</w:t>
            </w:r>
          </w:p>
        </w:tc>
        <w:tc>
          <w:tcPr>
            <w:tcW w:type="dxa" w:w="4873"/>
          </w:tcPr>
          <w:p>
            <w:r>
              <w:t>搜索框、分类标题、Skill 列表、当前选中态</w:t>
            </w:r>
          </w:p>
        </w:tc>
      </w:tr>
      <w:tr>
        <w:tc>
          <w:tcPr>
            <w:tcW w:type="dxa" w:w="4873"/>
          </w:tcPr>
          <w:p>
            <w:r>
              <w:t>任务详情页</w:t>
            </w:r>
          </w:p>
        </w:tc>
        <w:tc>
          <w:tcPr>
            <w:tcW w:type="dxa" w:w="4873"/>
          </w:tcPr>
          <w:p>
            <w:r>
              <w:t>基础信息、完整消息、结构化结果、附件区、导出区</w:t>
            </w:r>
          </w:p>
        </w:tc>
      </w:tr>
      <w:tr>
        <w:tc>
          <w:tcPr>
            <w:tcW w:type="dxa" w:w="4873"/>
          </w:tcPr>
          <w:p>
            <w:r>
              <w:t>管理后台</w:t>
            </w:r>
          </w:p>
        </w:tc>
        <w:tc>
          <w:tcPr>
            <w:tcW w:type="dxa" w:w="4873"/>
          </w:tcPr>
          <w:p>
            <w:r>
              <w:t>配置列表、表单编辑、日志统计</w:t>
            </w:r>
          </w:p>
        </w:tc>
      </w:tr>
    </w:tbl>
    <w:p>
      <w:pPr>
        <w:pStyle w:val="SectionCN"/>
        <w:spacing w:before="200" w:after="80"/>
      </w:pPr>
      <w:r>
        <w:t>4. Workspace 版式规范</w:t>
      </w:r>
    </w:p>
    <w:p>
      <w:pPr>
        <w:pStyle w:val="BodyText"/>
        <w:spacing w:line="324" w:lineRule="auto" w:after="60"/>
      </w:pPr>
      <w:r>
        <w:t>桌面端推荐采用两栏结构：左栏固定宽度 280-320px，右侧为自适应工作区。移动端可将左栏折叠为抽屉，但保持“任务优先”的信息层级。</w:t>
      </w:r>
    </w:p>
    <w:p>
      <w:pPr>
        <w:pStyle w:val="BodyText"/>
        <w:spacing w:line="324" w:lineRule="auto" w:after="60"/>
      </w:pPr>
      <w:r>
        <w:t>左栏用于任务导航和全局操作，右侧用于当前任务执行。输入框始终固定在底部，消息流可滚动，顶部 Skill 标识与切换按钮固定。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区域</w:t>
            </w:r>
          </w:p>
        </w:tc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建议尺寸/行为</w:t>
            </w:r>
          </w:p>
        </w:tc>
        <w:tc>
          <w:tcPr>
            <w:tcW w:type="dxa" w:w="408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设计要点</w:t>
            </w:r>
          </w:p>
        </w:tc>
      </w:tr>
      <w:tr>
        <w:tc>
          <w:tcPr>
            <w:tcW w:type="dxa" w:w="3249"/>
          </w:tcPr>
          <w:p>
            <w:r>
              <w:t>左侧任务栏</w:t>
            </w:r>
          </w:p>
        </w:tc>
        <w:tc>
          <w:tcPr>
            <w:tcW w:type="dxa" w:w="3249"/>
          </w:tcPr>
          <w:p>
            <w:r>
              <w:t>280-320px 固定宽</w:t>
            </w:r>
          </w:p>
        </w:tc>
        <w:tc>
          <w:tcPr>
            <w:tcW w:type="dxa" w:w="3249"/>
          </w:tcPr>
          <w:p>
            <w:r>
              <w:t>保持高可读、浅层级、任务卡片突出当前项</w:t>
            </w:r>
          </w:p>
        </w:tc>
      </w:tr>
      <w:tr>
        <w:tc>
          <w:tcPr>
            <w:tcW w:type="dxa" w:w="3249"/>
          </w:tcPr>
          <w:p>
            <w:r>
              <w:t>主工作区</w:t>
            </w:r>
          </w:p>
        </w:tc>
        <w:tc>
          <w:tcPr>
            <w:tcW w:type="dxa" w:w="3249"/>
          </w:tcPr>
          <w:p>
            <w:r>
              <w:t>自适应宽度</w:t>
            </w:r>
          </w:p>
        </w:tc>
        <w:tc>
          <w:tcPr>
            <w:tcW w:type="dxa" w:w="3249"/>
          </w:tcPr>
          <w:p>
            <w:r>
              <w:t>大面积留白，避免聊天气泡贴边</w:t>
            </w:r>
          </w:p>
        </w:tc>
      </w:tr>
      <w:tr>
        <w:tc>
          <w:tcPr>
            <w:tcW w:type="dxa" w:w="3249"/>
          </w:tcPr>
          <w:p>
            <w:r>
              <w:t>输入区</w:t>
            </w:r>
          </w:p>
        </w:tc>
        <w:tc>
          <w:tcPr>
            <w:tcW w:type="dxa" w:w="3249"/>
          </w:tcPr>
          <w:p>
            <w:r>
              <w:t>固定底部，高 64-96px</w:t>
            </w:r>
          </w:p>
        </w:tc>
        <w:tc>
          <w:tcPr>
            <w:tcW w:type="dxa" w:w="3249"/>
          </w:tcPr>
          <w:p>
            <w:r>
              <w:t>多行输入、发送按钮、附件入口清晰</w:t>
            </w:r>
          </w:p>
        </w:tc>
      </w:tr>
    </w:tbl>
    <w:p>
      <w:pPr>
        <w:pStyle w:val="SectionCN"/>
        <w:spacing w:before="200" w:after="80"/>
      </w:pPr>
      <w:r>
        <w:t>5. 组件规范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组件</w:t>
            </w:r>
          </w:p>
        </w:tc>
        <w:tc>
          <w:tcPr>
            <w:tcW w:type="dxa" w:w="61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规范</w:t>
            </w:r>
          </w:p>
        </w:tc>
      </w:tr>
      <w:tr>
        <w:tc>
          <w:tcPr>
            <w:tcW w:type="dxa" w:w="4873"/>
          </w:tcPr>
          <w:p>
            <w:r>
              <w:t>Task Item</w:t>
            </w:r>
          </w:p>
        </w:tc>
        <w:tc>
          <w:tcPr>
            <w:tcW w:type="dxa" w:w="4873"/>
          </w:tcPr>
          <w:p>
            <w:r>
              <w:t>展示标题、Skill、状态、时间；当前选中时高亮背景与左侧强调条</w:t>
            </w:r>
          </w:p>
        </w:tc>
      </w:tr>
      <w:tr>
        <w:tc>
          <w:tcPr>
            <w:tcW w:type="dxa" w:w="4873"/>
          </w:tcPr>
          <w:p>
            <w:r>
              <w:t>Skill Card</w:t>
            </w:r>
          </w:p>
        </w:tc>
        <w:tc>
          <w:tcPr>
            <w:tcW w:type="dxa" w:w="4873"/>
          </w:tcPr>
          <w:p>
            <w:r>
              <w:t>欢迎态中的卡片，包含图标、标题、简述；悬停轻微抬升</w:t>
            </w:r>
          </w:p>
        </w:tc>
      </w:tr>
      <w:tr>
        <w:tc>
          <w:tcPr>
            <w:tcW w:type="dxa" w:w="4873"/>
          </w:tcPr>
          <w:p>
            <w:r>
              <w:t>Skill Drawer Item</w:t>
            </w:r>
          </w:p>
        </w:tc>
        <w:tc>
          <w:tcPr>
            <w:tcW w:type="dxa" w:w="4873"/>
          </w:tcPr>
          <w:p>
            <w:r>
              <w:t>抽屉列表项，当前选中有高亮底、右侧指示</w:t>
            </w:r>
          </w:p>
        </w:tc>
      </w:tr>
      <w:tr>
        <w:tc>
          <w:tcPr>
            <w:tcW w:type="dxa" w:w="4873"/>
          </w:tcPr>
          <w:p>
            <w:r>
              <w:t>User Bubble</w:t>
            </w:r>
          </w:p>
        </w:tc>
        <w:tc>
          <w:tcPr>
            <w:tcW w:type="dxa" w:w="4873"/>
          </w:tcPr>
          <w:p>
            <w:r>
              <w:t>用户消息靠右，使用强调色边框或底色，角半径较大</w:t>
            </w:r>
          </w:p>
        </w:tc>
      </w:tr>
      <w:tr>
        <w:tc>
          <w:tcPr>
            <w:tcW w:type="dxa" w:w="4873"/>
          </w:tcPr>
          <w:p>
            <w:r>
              <w:t>Assistant Bubble</w:t>
            </w:r>
          </w:p>
        </w:tc>
        <w:tc>
          <w:tcPr>
            <w:tcW w:type="dxa" w:w="4873"/>
          </w:tcPr>
          <w:p>
            <w:r>
              <w:t>系统回复靠左，内容区域宽度受控，长文本排版清晰</w:t>
            </w:r>
          </w:p>
        </w:tc>
      </w:tr>
      <w:tr>
        <w:tc>
          <w:tcPr>
            <w:tcW w:type="dxa" w:w="4873"/>
          </w:tcPr>
          <w:p>
            <w:r>
              <w:t>Status Bubble</w:t>
            </w:r>
          </w:p>
        </w:tc>
        <w:tc>
          <w:tcPr>
            <w:tcW w:type="dxa" w:w="4873"/>
          </w:tcPr>
          <w:p>
            <w:r>
              <w:t>思考中、解析中、导出中等状态消息，使用低饱和提示色</w:t>
            </w:r>
          </w:p>
        </w:tc>
      </w:tr>
      <w:tr>
        <w:tc>
          <w:tcPr>
            <w:tcW w:type="dxa" w:w="4873"/>
          </w:tcPr>
          <w:p>
            <w:r>
              <w:t>Structured Result Card</w:t>
            </w:r>
          </w:p>
        </w:tc>
        <w:tc>
          <w:tcPr>
            <w:tcW w:type="dxa" w:w="4873"/>
          </w:tcPr>
          <w:p>
            <w:r>
              <w:t>结果块，用于评分、摘要、结论、建议等结构化内容</w:t>
            </w:r>
          </w:p>
        </w:tc>
      </w:tr>
      <w:tr>
        <w:tc>
          <w:tcPr>
            <w:tcW w:type="dxa" w:w="4873"/>
          </w:tcPr>
          <w:p>
            <w:r>
              <w:t>Attachment Chip</w:t>
            </w:r>
          </w:p>
        </w:tc>
        <w:tc>
          <w:tcPr>
            <w:tcW w:type="dxa" w:w="4873"/>
          </w:tcPr>
          <w:p>
            <w:r>
              <w:t>展示文件名、状态、大小和删除动作</w:t>
            </w:r>
          </w:p>
        </w:tc>
      </w:tr>
      <w:tr>
        <w:tc>
          <w:tcPr>
            <w:tcW w:type="dxa" w:w="4873"/>
          </w:tcPr>
          <w:p>
            <w:r>
              <w:t>Primary Button</w:t>
            </w:r>
          </w:p>
        </w:tc>
        <w:tc>
          <w:tcPr>
            <w:tcW w:type="dxa" w:w="4873"/>
          </w:tcPr>
          <w:p>
            <w:r>
              <w:t>用于发送、确认、导出等主动作</w:t>
            </w:r>
          </w:p>
        </w:tc>
      </w:tr>
    </w:tbl>
    <w:p>
      <w:pPr>
        <w:pStyle w:val="SectionCN"/>
        <w:spacing w:before="200" w:after="80"/>
      </w:pPr>
      <w:r>
        <w:t>6. 对话设计规范</w:t>
      </w:r>
    </w:p>
    <w:p>
      <w:pPr>
        <w:pStyle w:val="BodyText"/>
        <w:spacing w:line="324" w:lineRule="auto" w:after="60"/>
      </w:pPr>
      <w:r>
        <w:t>所有任务都是多轮对话，因此消息流是最核心的设计对象。消息区要兼容长文本、短状态、列表、代码块、表格块和结果卡片。</w:t>
      </w:r>
    </w:p>
    <w:p>
      <w:pPr>
        <w:pStyle w:val="BodyText"/>
        <w:spacing w:line="324" w:lineRule="auto" w:after="60"/>
      </w:pPr>
      <w:r>
        <w:t>用户消息始终右侧对齐并保留时间戳；Assistant 消息左侧对齐，头像或图标统一；状态消息以较轻的胶囊形式出现，避免误解为正式输出。</w:t>
      </w:r>
    </w:p>
    <w:p>
      <w:pPr>
        <w:pStyle w:val="BodyText"/>
        <w:spacing w:line="324" w:lineRule="auto" w:after="60"/>
      </w:pPr>
      <w:r>
        <w:t>长文本回复需要良好的排版：段间距明确，列表缩进稳定，标题层级清晰。禁止出现大段无分节的“文字墙”。</w:t>
      </w:r>
    </w:p>
    <w:p>
      <w:pPr>
        <w:pStyle w:val="SectionCN"/>
        <w:spacing w:before="200" w:after="80"/>
      </w:pPr>
      <w:r>
        <w:t>7. 结果呈现规范</w:t>
      </w:r>
    </w:p>
    <w:p>
      <w:pPr>
        <w:pStyle w:val="BodyText"/>
        <w:spacing w:line="324" w:lineRule="auto" w:after="60"/>
      </w:pPr>
      <w:r>
        <w:t>对简历筛选、视频评估、合同审查等高价值场景，UI 需要预留结构化结果位。即使首版底层仍以 JSON/Markdown 存储，前端也应设计统一卡片骨架。</w:t>
      </w:r>
    </w:p>
    <w:p>
      <w:pPr>
        <w:pStyle w:val="BodyText"/>
        <w:spacing w:line="324" w:lineRule="auto" w:after="60"/>
      </w:pPr>
      <w:r>
        <w:t>结果卡片建议分四个区块：摘要、关键评分/结论、详细解释、后续动作。后续动作包括继续追问、复制结果、导出、另存为模板。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场景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首屏信息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详细区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5B9BD5"/>
          </w:tcPr>
          <w:p>
            <w:r>
              <w:t>推荐动作</w:t>
            </w:r>
          </w:p>
        </w:tc>
      </w:tr>
      <w:tr>
        <w:tc>
          <w:tcPr>
            <w:tcW w:type="dxa" w:w="2436"/>
          </w:tcPr>
          <w:p>
            <w:r>
              <w:t>简历筛选</w:t>
            </w:r>
          </w:p>
        </w:tc>
        <w:tc>
          <w:tcPr>
            <w:tcW w:type="dxa" w:w="2436"/>
          </w:tcPr>
          <w:p>
            <w:r>
              <w:t>总评、总分、是否推荐</w:t>
            </w:r>
          </w:p>
        </w:tc>
        <w:tc>
          <w:tcPr>
            <w:tcW w:type="dxa" w:w="2436"/>
          </w:tcPr>
          <w:p>
            <w:r>
              <w:t>五维评分、风险、建议</w:t>
            </w:r>
          </w:p>
        </w:tc>
        <w:tc>
          <w:tcPr>
            <w:tcW w:type="dxa" w:w="2436"/>
          </w:tcPr>
          <w:p>
            <w:r>
              <w:t>继续追问、导出评分表</w:t>
            </w:r>
          </w:p>
        </w:tc>
      </w:tr>
      <w:tr>
        <w:tc>
          <w:tcPr>
            <w:tcW w:type="dxa" w:w="2436"/>
          </w:tcPr>
          <w:p>
            <w:r>
              <w:t>JD 生成</w:t>
            </w:r>
          </w:p>
        </w:tc>
        <w:tc>
          <w:tcPr>
            <w:tcW w:type="dxa" w:w="2436"/>
          </w:tcPr>
          <w:p>
            <w:r>
              <w:t>岗位标题、版本标签</w:t>
            </w:r>
          </w:p>
        </w:tc>
        <w:tc>
          <w:tcPr>
            <w:tcW w:type="dxa" w:w="2436"/>
          </w:tcPr>
          <w:p>
            <w:r>
              <w:t>职责、要求、卖点、注意项</w:t>
            </w:r>
          </w:p>
        </w:tc>
        <w:tc>
          <w:tcPr>
            <w:tcW w:type="dxa" w:w="2436"/>
          </w:tcPr>
          <w:p>
            <w:r>
              <w:t>复制、导出、再生成</w:t>
            </w:r>
          </w:p>
        </w:tc>
      </w:tr>
      <w:tr>
        <w:tc>
          <w:tcPr>
            <w:tcW w:type="dxa" w:w="2436"/>
          </w:tcPr>
          <w:p>
            <w:r>
              <w:t>合同审查</w:t>
            </w:r>
          </w:p>
        </w:tc>
        <w:tc>
          <w:tcPr>
            <w:tcW w:type="dxa" w:w="2436"/>
          </w:tcPr>
          <w:p>
            <w:r>
              <w:t>风险级别、问题数</w:t>
            </w:r>
          </w:p>
        </w:tc>
        <w:tc>
          <w:tcPr>
            <w:tcW w:type="dxa" w:w="2436"/>
          </w:tcPr>
          <w:p>
            <w:r>
              <w:t>逐条条款问题与修订建议</w:t>
            </w:r>
          </w:p>
        </w:tc>
        <w:tc>
          <w:tcPr>
            <w:tcW w:type="dxa" w:w="2436"/>
          </w:tcPr>
          <w:p>
            <w:r>
              <w:t>导出审查报告</w:t>
            </w:r>
          </w:p>
        </w:tc>
      </w:tr>
      <w:tr>
        <w:tc>
          <w:tcPr>
            <w:tcW w:type="dxa" w:w="2436"/>
          </w:tcPr>
          <w:p>
            <w:r>
              <w:t>政策问答</w:t>
            </w:r>
          </w:p>
        </w:tc>
        <w:tc>
          <w:tcPr>
            <w:tcW w:type="dxa" w:w="2436"/>
          </w:tcPr>
          <w:p>
            <w:r>
              <w:t>结论摘要</w:t>
            </w:r>
          </w:p>
        </w:tc>
        <w:tc>
          <w:tcPr>
            <w:tcW w:type="dxa" w:w="2436"/>
          </w:tcPr>
          <w:p>
            <w:r>
              <w:t>依据、边界、补充建议</w:t>
            </w:r>
          </w:p>
        </w:tc>
        <w:tc>
          <w:tcPr>
            <w:tcW w:type="dxa" w:w="2436"/>
          </w:tcPr>
          <w:p>
            <w:r>
              <w:t>继续追问、复制</w:t>
            </w:r>
          </w:p>
        </w:tc>
      </w:tr>
    </w:tbl>
    <w:p>
      <w:pPr>
        <w:pStyle w:val="SectionCN"/>
        <w:spacing w:before="200" w:after="80"/>
      </w:pPr>
      <w:r>
        <w:t>8. 颜色、字体与间距</w:t>
      </w:r>
    </w:p>
    <w:p>
      <w:pPr>
        <w:pStyle w:val="BodyText"/>
        <w:spacing w:line="324" w:lineRule="auto" w:after="60"/>
      </w:pPr>
      <w:r>
        <w:t>字体建议：中文使用微软雅黑或系统无衬线，英文与数字使用 Inter/Arial 类字体；正文 14-16px，辅助信息 12-13px，标题按 24/20/16 的层级控制。</w:t>
      </w:r>
    </w:p>
    <w:p>
      <w:pPr>
        <w:pStyle w:val="BodyText"/>
        <w:spacing w:line="324" w:lineRule="auto" w:after="60"/>
      </w:pPr>
      <w:r>
        <w:t>基础圆角 12-16px，输入框与主要卡片可适当更大。页面总留白充足，消息内容宽度不超过主区的 70-76%，减少超长行。</w:t>
      </w:r>
    </w:p>
    <w:p>
      <w:pPr>
        <w:pStyle w:val="BodyText"/>
        <w:spacing w:line="324" w:lineRule="auto" w:after="60"/>
      </w:pPr>
      <w:r>
        <w:t>色板建议：页面背景 #071320，卡片层 #0D1D2F / #10233A，强调色 #18B4C7 或相近色，文本主色偏亮灰，次级信息为蓝灰。</w:t>
      </w:r>
    </w:p>
    <w:p>
      <w:pPr>
        <w:pStyle w:val="SectionCN"/>
        <w:spacing w:before="200" w:after="80"/>
      </w:pPr>
      <w:r>
        <w:t>9. 状态系统与反馈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状态</w:t>
            </w:r>
          </w:p>
        </w:tc>
        <w:tc>
          <w:tcPr>
            <w:tcW w:type="dxa" w:w="64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r>
              <w:rPr>
                <w:b/>
                <w:color w:val="FFFFFF"/>
              </w:rPr>
              <w:t>设计要求</w:t>
            </w:r>
          </w:p>
        </w:tc>
      </w:tr>
      <w:tr>
        <w:tc>
          <w:tcPr>
            <w:tcW w:type="dxa" w:w="4873"/>
          </w:tcPr>
          <w:p>
            <w:r>
              <w:t>空状态</w:t>
            </w:r>
          </w:p>
        </w:tc>
        <w:tc>
          <w:tcPr>
            <w:tcW w:type="dxa" w:w="4873"/>
          </w:tcPr>
          <w:p>
            <w:r>
              <w:t>无任务、无附件、无结果时提供清晰引导与下一步操作</w:t>
            </w:r>
          </w:p>
        </w:tc>
      </w:tr>
      <w:tr>
        <w:tc>
          <w:tcPr>
            <w:tcW w:type="dxa" w:w="4873"/>
          </w:tcPr>
          <w:p>
            <w:r>
              <w:t>加载状态</w:t>
            </w:r>
          </w:p>
        </w:tc>
        <w:tc>
          <w:tcPr>
            <w:tcW w:type="dxa" w:w="4873"/>
          </w:tcPr>
          <w:p>
            <w:r>
              <w:t>思考中、解析中、导出中使用明确文案，不仅是转圈图标</w:t>
            </w:r>
          </w:p>
        </w:tc>
      </w:tr>
      <w:tr>
        <w:tc>
          <w:tcPr>
            <w:tcW w:type="dxa" w:w="4873"/>
          </w:tcPr>
          <w:p>
            <w:r>
              <w:t>成功状态</w:t>
            </w:r>
          </w:p>
        </w:tc>
        <w:tc>
          <w:tcPr>
            <w:tcW w:type="dxa" w:w="4873"/>
          </w:tcPr>
          <w:p>
            <w:r>
              <w:t>导出完成、上传完成要有轻提示且可查看结果</w:t>
            </w:r>
          </w:p>
        </w:tc>
      </w:tr>
      <w:tr>
        <w:tc>
          <w:tcPr>
            <w:tcW w:type="dxa" w:w="4873"/>
          </w:tcPr>
          <w:p>
            <w:r>
              <w:t>错误状态</w:t>
            </w:r>
          </w:p>
        </w:tc>
        <w:tc>
          <w:tcPr>
            <w:tcW w:type="dxa" w:w="4873"/>
          </w:tcPr>
          <w:p>
            <w:r>
              <w:t>网络错误、模型失败、上传失败要可重试，并说明失败原因</w:t>
            </w:r>
          </w:p>
        </w:tc>
      </w:tr>
      <w:tr>
        <w:tc>
          <w:tcPr>
            <w:tcW w:type="dxa" w:w="4873"/>
          </w:tcPr>
          <w:p>
            <w:r>
              <w:t>权限状态</w:t>
            </w:r>
          </w:p>
        </w:tc>
        <w:tc>
          <w:tcPr>
            <w:tcW w:type="dxa" w:w="4873"/>
          </w:tcPr>
          <w:p>
            <w:r>
              <w:t>无权访问时给出友好说明与返回路径</w:t>
            </w:r>
          </w:p>
        </w:tc>
      </w:tr>
    </w:tbl>
    <w:p>
      <w:pPr>
        <w:pStyle w:val="SectionCN"/>
        <w:spacing w:before="200" w:after="80"/>
      </w:pPr>
      <w:r>
        <w:t>10. 响应式与适配</w:t>
      </w:r>
    </w:p>
    <w:p>
      <w:pPr>
        <w:pStyle w:val="BodyText"/>
        <w:spacing w:line="324" w:lineRule="auto" w:after="60"/>
      </w:pPr>
      <w:r>
        <w:t>桌面端优先；平板端保留双栏但适当收窄；移动端将任务列表和 Skill 抽屉合并为可切换抽屉。输入框始终置底，保证发送与查看历史的主链路不断裂。</w:t>
      </w:r>
    </w:p>
    <w:p>
      <w:pPr>
        <w:pStyle w:val="BodyText"/>
        <w:spacing w:line="324" w:lineRule="auto" w:after="60"/>
      </w:pPr>
      <w:r>
        <w:t>导出、复杂表格和管理后台更偏桌面使用，可在移动端做简化展示。</w:t>
      </w:r>
    </w:p>
    <w:p>
      <w:pPr>
        <w:pStyle w:val="SectionCN"/>
        <w:spacing w:before="200" w:after="80"/>
      </w:pPr>
      <w:r>
        <w:t>11. 设计交付物清单</w:t>
      </w:r>
    </w:p>
    <w:p>
      <w:pPr>
        <w:pStyle w:val="BodyText"/>
        <w:spacing w:line="324" w:lineRule="auto" w:after="60"/>
      </w:pPr>
      <w:r>
        <w:t>设计团队需要产出：信息架构图、页面流转图、首页与工作台高保真稿、Skill 抽屉组件规范、消息组件规范、结构化结果卡片库、导出页模板、设计 token 文档、切图/变量说明。</w:t>
      </w:r>
    </w:p>
    <w:p>
      <w:pPr>
        <w:pStyle w:val="BodyText"/>
        <w:spacing w:line="324" w:lineRule="auto" w:after="60"/>
      </w:pPr>
      <w:r>
        <w:t>验收时需要检查：深色模式阅读体验、长文本排版、抽屉交互、输入框固定行为、不同状态下的提示文案、导出按钮可见性、移动端底部安全区。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7083"/>
        <w:sz w:val="18"/>
      </w:rPr>
      <w:t>HORO AI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basedOn w:val="Title"/>
    <w:rPr>
      <w:rFonts w:ascii="Arial" w:hAnsi="Arial" w:eastAsia="Microsoft YaHei"/>
      <w:b/>
      <w:color w:val="0B4F6C"/>
      <w:sz w:val="48"/>
    </w:rPr>
  </w:style>
  <w:style w:type="paragraph" w:customStyle="1" w:styleId="SubTitleCN">
    <w:name w:val="SubTitleCN"/>
    <w:basedOn w:val="Subtitle"/>
    <w:rPr>
      <w:rFonts w:ascii="Arial" w:hAnsi="Arial" w:eastAsia="Microsoft YaHei"/>
      <w:b w:val="0"/>
      <w:color w:val="5B7083"/>
      <w:sz w:val="22"/>
    </w:rPr>
  </w:style>
  <w:style w:type="paragraph" w:customStyle="1" w:styleId="SectionCN">
    <w:name w:val="SectionCN"/>
    <w:basedOn w:val="Heading1"/>
    <w:rPr>
      <w:rFonts w:ascii="Arial" w:hAnsi="Arial" w:eastAsia="Microsoft YaHei"/>
      <w:b/>
      <w:color w:val="113B5C"/>
      <w:sz w:val="32"/>
    </w:rPr>
  </w:style>
  <w:style w:type="paragraph" w:customStyle="1" w:styleId="Section2CN">
    <w:name w:val="Section2CN"/>
    <w:basedOn w:val="Heading2"/>
    <w:rPr>
      <w:rFonts w:ascii="Arial" w:hAnsi="Arial" w:eastAsia="Microsoft YaHei"/>
      <w:b/>
      <w:color w:val="144C7A"/>
      <w:sz w:val="26"/>
    </w:rPr>
  </w:style>
  <w:style w:type="paragraph" w:customStyle="1" w:styleId="Section3CN">
    <w:name w:val="Section3CN"/>
    <w:basedOn w:val="Heading3"/>
    <w:rPr>
      <w:rFonts w:ascii="Arial" w:hAnsi="Arial" w:eastAsia="Microsoft YaHei"/>
      <w:b/>
      <w:color w:val="1A5F7A"/>
      <w:sz w:val="23"/>
    </w:rPr>
  </w:style>
  <w:style w:type="paragraph" w:customStyle="1" w:styleId="CalloutCN">
    <w:name w:val="CalloutCN"/>
    <w:basedOn w:val="IntenseQuote"/>
    <w:rPr>
      <w:rFonts w:ascii="Arial" w:hAnsi="Arial" w:eastAsia="Microsoft YaHei"/>
      <w:b w:val="0"/>
      <w:color w:val="183247"/>
      <w:sz w:val="21"/>
    </w:rPr>
  </w:style>
  <w:style w:type="paragraph" w:customStyle="1" w:styleId="SmallCN">
    <w:name w:val="SmallCN"/>
    <w:basedOn w:val="BodyText"/>
    <w:rPr>
      <w:rFonts w:ascii="Arial" w:hAnsi="Arial" w:eastAsia="Microsoft YaHei"/>
      <w:b w:val="0"/>
      <w:color w:val="5B708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