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黑匣子 Cloudflare 网站技术归档</w:t>
      </w:r>
    </w:p>
    <w:p>
      <w:pPr>
        <w:ind w:left="288" w:right="288"/>
      </w:pPr>
      <w:r>
        <w:t>阅读基准：2026 年 9 月 26 日的仓库代码与配置。本文解释这套网站如何工作，也区分“代码中存在”“历史记录曾验证”和“当前线上尚未核验”。面向第一次接触项目的维护者。可打印版本见同目录的 DOCX 与 PDF。</w:t>
      </w:r>
    </w:p>
    <w:p>
      <w:pPr>
        <w:pStyle w:val="Heading1"/>
      </w:pPr>
      <w:r>
        <w:t>一 项目背景与目标</w:t>
      </w:r>
    </w:p>
    <w:p>
      <w:pPr/>
      <w:r>
        <w:t>黑匣子网站保存校园戏剧社团的作品、演职人员与相关资料。读者可能只想查一部剧的演出版本和参与者；成员可能要补充剧本、照片或音频；管理员则需要核对资料、管理可见范围。网站把这三种需求放进同一套资料模型：作品是被归档的剧目，版本区分同一剧目的不同演出，成员与演职记录把人和版本联系起来，资源则指照片、剧本、音频等文件及其描述。对应关系可从 数据库迁移（migrations/0001_core.sql）、版本迁移（migrations/0015_production_editions.sql）及作品页面（src/routes/productions.ts）核对。</w:t>
      </w:r>
    </w:p>
    <w:p>
      <w:pPr/>
      <w:r>
        <w:t>系统的目标是让公开资料可浏览、让投稿有审核入口、让后台操作留下可追踪的数据。它目前是一个由 Cloudflare Worker 承载的网站，并非几个独立部署的前后端服务。原始技术选型时为何采用 Cloudflare，仓库没有足够的决策记录；本文只解释现有实现及其影响，不倒推当时的动机。</w:t>
      </w:r>
    </w:p>
    <w:p>
      <w:pPr>
        <w:pStyle w:val="Heading1"/>
        <w:pageBreakBefore/>
      </w:pPr>
      <w:r>
        <w:t>二 系统整体架构</w:t>
      </w:r>
    </w:p>
    <w:p>
      <w:pPr/>
      <w:r>
        <w:t>浏览器访问主站 npublackbox.online 或后台域名 admin.npublackbox.online 时，请求进入同一个 Worker。Worker 使用 Hono 路由，动态页面在服务端生成 HTML；静态脚本、样式和图片由 Static Assets 绑定提供。D1 保存成员、作品、资源元数据及审核状态，R2 保存上传文件的字节。这里的 D1 是 Cloudflare 的 SQL 数据库绑定，R2 是对象存储；前者回答“这是什么、谁能看”，后者保存“文件内容是什么”。绑定与域名见 wrangler.jsonc（wrangler.jsonc），入口和路由装配见 src/index.ts（src/index.ts）。</w:t>
      </w:r>
    </w:p>
    <w:p>
      <w:pPr/>
      <w:r>
        <w:t>下表中的“处理位置”都属于同一个 Worker；主站和后台只是不同的访问入口。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872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3888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同一 Worker 中的处理</w:t>
            </w:r>
          </w:p>
        </w:tc>
        <w:tc>
          <w:tcPr>
            <w:tcW w:type="dxa" w:w="3600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数据或结果</w:t>
            </w:r>
          </w:p>
        </w:tc>
      </w:tr>
      <w:tr>
        <w:trPr>
          <w:cantSplit/>
        </w:trPr>
        <w:tc>
          <w:tcPr>
            <w:tcW w:type="dxa" w:w="1872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主站域名</w:t>
            </w:r>
          </w:p>
        </w:tc>
        <w:tc>
          <w:tcPr>
            <w:tcW w:type="dxa" w:w="3888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Hono 页面与 API</w:t>
            </w:r>
          </w:p>
        </w:tc>
        <w:tc>
          <w:tcPr>
            <w:tcW w:type="dxa" w:w="3600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D1 资料；按权限读取 R2 文件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后台域名</w:t>
            </w:r>
          </w:p>
        </w:tc>
        <w:tc>
          <w:tcPr>
            <w:tcW w:type="dxa" w:w="3888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后台门禁与 Hono 管理路由</w:t>
            </w:r>
          </w:p>
        </w:tc>
        <w:tc>
          <w:tcPr>
            <w:tcW w:type="dxa" w:w="3600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D1 管理与审核；按权限操作 R2 文件</w:t>
            </w:r>
          </w:p>
        </w:tc>
      </w:tr>
      <w:tr>
        <w:trPr>
          <w:cantSplit/>
        </w:trPr>
        <w:tc>
          <w:tcPr>
            <w:tcW w:type="dxa" w:w="1872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静态文件请求</w:t>
            </w:r>
          </w:p>
        </w:tc>
        <w:tc>
          <w:tcPr>
            <w:tcW w:type="dxa" w:w="3888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Static Assets 绑定</w:t>
            </w:r>
          </w:p>
        </w:tc>
        <w:tc>
          <w:tcPr>
            <w:tcW w:type="dxa" w:w="3600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public 中的脚本、样式和图片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定时触发器</w:t>
            </w:r>
          </w:p>
        </w:tc>
        <w:tc>
          <w:tcPr>
            <w:tcW w:type="dxa" w:w="3888"/>
            <w:shd w:fill="FFFFFF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scheduled 入口</w:t>
            </w:r>
          </w:p>
        </w:tc>
        <w:tc>
          <w:tcPr>
            <w:tcW w:type="dxa" w:w="3600"/>
            <w:shd w:fill="FFFFFF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过期上传与记录清理</w:t>
            </w:r>
          </w:p>
        </w:tc>
      </w:tr>
    </w:tbl>
    <w:p/>
    <w:p>
      <w:pPr/>
      <w:r>
        <w:t>两个域名承担不同的入口职责，但后台没有单独服务器。后台域名的访问门禁由 admin-portal 中间件（src/middleware/admin-portal.ts）执行。Worker 每小时第 17 分钟收到一次定时触发，处理过期上传、限流记录和导入明细清理；这是一项后台维护工作，并不替代人工监测与备份。配置（wrangler.jsonc）和定时入口（src/index.ts）可核对触发时间及任务。</w:t>
      </w:r>
    </w:p>
    <w:p>
      <w:pPr>
        <w:pStyle w:val="Heading1"/>
      </w:pPr>
      <w:r>
        <w:t>三 核心技术选择及其影响</w:t>
      </w:r>
    </w:p>
    <w:p>
      <w:pPr/>
      <w:r>
        <w:t>读者需要先知道请求在哪里被处理。页面与 API 共用一个 Hono 应用：中间件先建立请求上下文、加安全响应头、校验同源写入、加载用户，再进入具体路由。入口（src/index.ts）展示了这个顺序。因此路由可以复用同一份身份和数据库绑定；改动公共中间件也会同时影响主站与后台，需要回归两类页面。</w:t>
      </w:r>
    </w:p>
    <w:p>
      <w:pPr/>
      <w:r>
        <w:t>服务端渲染使首页、作品页与资源页可直接返回完整 HTML。首页（src/routes/home.ts）并行读取站点资料、公告、焦点内容和最新作品，再交给页面模板。静态资源走 Assets 绑定；未命中动态路由的请求才交给 Assets。入口（src/index.ts）及配置（wrangler.jsonc）说明了这个边界。这样部署对象只有一个 Worker，但静态文件与动态权限逻辑仍分开。</w:t>
      </w:r>
    </w:p>
    <w:p>
      <w:pPr/>
      <w:r>
        <w:t>数据访问使用 D1 原生绑定的 prepare、bind、first、all、run 和 batch，并未建立传统数据库连接池或使用 Hyperdrive。绑定类型（src/types.ts）和实际查询可直接核对这一点。历史评估见 git show 2bbe8a4:docs/数据库连接管理评估.md；这里以当前代码为准。R2 用于存储文件，不作为资源目录：文件是否可见先由 D1 判断。这个分工让权限规则集中在应用层，也意味着 D1 与 R2 无法共用一次原子事务，后文会说明补偿清理。</w:t>
      </w:r>
    </w:p>
    <w:p>
      <w:pPr>
        <w:pStyle w:val="Heading1"/>
      </w:pPr>
      <w:r>
        <w:t>四 关键请求与数据流</w:t>
      </w:r>
    </w:p>
    <w:p>
      <w:pPr>
        <w:pStyle w:val="Heading2"/>
      </w:pPr>
      <w:r>
        <w:t>公开浏览如何到达作品和资源</w:t>
      </w:r>
    </w:p>
    <w:p>
      <w:pPr/>
      <w:r>
        <w:t>访客从首页进入作品列表，可搜索并查看作品详情；作品详情把版本、演职记录和已批准资源组织在一起。作品路由（src/routes/productions.ts）处理列表、时间线及详情。隐藏作品只对管理员可见，关联资源也随之受限，可见性判断（src/services/production-visibility.ts）是公共入口，避免只隐藏页面而仍能取得文件。</w:t>
      </w:r>
    </w:p>
    <w:p>
      <w:pPr/>
      <w:r>
        <w:t>资源有两层访问：访客可看已批准资源的列表或预览；完整详情及文件下载要求登录。下载时先读 D1 中的资源及关联作品状态，再从 R2 取文件，设置安全的文件类型、下载头、范围请求与缓存头。资源路由（src/routes/resources.ts）和文件服务（src/services/resource-files.ts）共同实现这个顺序。即使知道 R2 对象键，也不能跳过网站的资源权限检查。</w:t>
      </w:r>
    </w:p>
    <w:p>
      <w:pPr/>
      <w:r>
        <w:t>两条请求的关键检查顺序如下。文件请求在读取 R2 之前必须完成资料和权限检查。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2448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请求</w:t>
            </w:r>
          </w:p>
        </w:tc>
        <w:tc>
          <w:tcPr>
            <w:tcW w:type="dxa" w:w="3600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先检查与读取</w:t>
            </w:r>
          </w:p>
        </w:tc>
        <w:tc>
          <w:tcPr>
            <w:tcW w:type="dxa" w:w="3312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返回</w:t>
            </w:r>
          </w:p>
        </w:tc>
      </w:tr>
      <w:tr>
        <w:trPr>
          <w:cantSplit/>
        </w:trPr>
        <w:tc>
          <w:tcPr>
            <w:tcW w:type="dxa" w:w="2448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作品详情 GET /productions/:id</w:t>
            </w:r>
          </w:p>
        </w:tc>
        <w:tc>
          <w:tcPr>
            <w:tcW w:type="dxa" w:w="3600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作品可见性 → 版本和演职记录 → 已批准资源</w:t>
            </w:r>
          </w:p>
        </w:tc>
        <w:tc>
          <w:tcPr>
            <w:tcW w:type="dxa" w:w="3312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HTML 页面</w:t>
            </w:r>
          </w:p>
        </w:tc>
      </w:tr>
      <w:tr>
        <w:trPr>
          <w:cantSplit/>
        </w:trPr>
        <w:tc>
          <w:tcPr>
            <w:tcW w:type="dxa" w:w="2448"/>
            <w:shd w:fill="FFFFFF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资源文件 GET /resources/:id/...</w:t>
            </w:r>
          </w:p>
        </w:tc>
        <w:tc>
          <w:tcPr>
            <w:tcW w:type="dxa" w:w="3600"/>
            <w:shd w:fill="FFFFFF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资源及关联作品状态 → 登录和权限 → R2 对象</w:t>
            </w:r>
          </w:p>
        </w:tc>
        <w:tc>
          <w:tcPr>
            <w:tcW w:type="dxa" w:w="3312"/>
            <w:shd w:fill="FFFFFF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文件内容</w:t>
            </w:r>
          </w:p>
        </w:tc>
      </w:tr>
    </w:tbl>
    <w:p/>
    <w:p>
      <w:pPr>
        <w:pStyle w:val="Heading2"/>
      </w:pPr>
      <w:r>
        <w:t>一次投稿从上传到公开</w:t>
      </w:r>
    </w:p>
    <w:p>
      <w:pPr/>
      <w:r>
        <w:t>投稿者先登录并提交文件信息。上传路由检查 CSRF 令牌（防止其他网站借用已登录浏览器发起写入）、文件类别、大小、作品与版本关系及同时进行的任务数，然后创建最长 24 小时的上传任务与空间预留。上传路由（src/routes/uploads.ts）、上传策略（src/services/upload-policy.ts）可核对这些规则。常规路径由 Worker 分片接收、写入 R2；若运行环境同时配置 R2 账号、访问密钥及桶名，代码也能生成直传所需的信息。仓库的生产配置没有声明这组直传凭据，线上 Secret 状态尚未核验，因此不能断言当前线上已启用直传。</w:t>
      </w:r>
    </w:p>
    <w:p>
      <w:pPr/>
      <w:r>
        <w:t>完成上传后，系统合并对象并写入资源记录。管理员或符合代码中低风险规则的已登录成员投稿可自动批准，其余进入待审核状态；“文件已进入 R2”不等于“访客已经能看”。完成流程（src/services/uploads.ts）和资源查询（src/routes/resources.ts）给出实际状态转换。失败或撤销留下的对象由清理队列处理，见第五节。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872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888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3600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对访客的影响</w:t>
            </w:r>
          </w:p>
        </w:tc>
      </w:tr>
      <w:tr>
        <w:trPr>
          <w:cantSplit/>
        </w:trPr>
        <w:tc>
          <w:tcPr>
            <w:tcW w:type="dxa" w:w="1872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创建任务</w:t>
            </w:r>
          </w:p>
        </w:tc>
        <w:tc>
          <w:tcPr>
            <w:tcW w:type="dxa" w:w="3888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验证身份、文件规则与空间，预留容量</w:t>
            </w:r>
          </w:p>
        </w:tc>
        <w:tc>
          <w:tcPr>
            <w:tcW w:type="dxa" w:w="3600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尚无公开资源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传输文件</w:t>
            </w:r>
          </w:p>
        </w:tc>
        <w:tc>
          <w:tcPr>
            <w:tcW w:type="dxa" w:w="3888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Worker 分片写入 R2；符合条件时可选择直传</w:t>
            </w:r>
          </w:p>
        </w:tc>
        <w:tc>
          <w:tcPr>
            <w:tcW w:type="dxa" w:w="3600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文件仍不可见</w:t>
            </w:r>
          </w:p>
        </w:tc>
      </w:tr>
      <w:tr>
        <w:trPr>
          <w:cantSplit/>
        </w:trPr>
        <w:tc>
          <w:tcPr>
            <w:tcW w:type="dxa" w:w="1872"/>
            <w:shd w:fill="F7F1EB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完成与审核</w:t>
            </w:r>
          </w:p>
        </w:tc>
        <w:tc>
          <w:tcPr>
            <w:tcW w:type="dxa" w:w="3888"/>
            <w:shd w:fill="F7F1EB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合并文件、写入 D1 资源记录并确定审核状态</w:t>
            </w:r>
          </w:p>
        </w:tc>
        <w:tc>
          <w:tcPr>
            <w:tcW w:type="dxa" w:w="3600"/>
            <w:shd w:fill="F7F1EB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仅获批准且所属作品可见的资源可以公开</w:t>
            </w:r>
          </w:p>
        </w:tc>
      </w:tr>
    </w:tbl>
    <w:p/>
    <w:p>
      <w:pPr>
        <w:pStyle w:val="Heading2"/>
      </w:pPr>
      <w:r>
        <w:t>后台批量导入如何避免半成品数据</w:t>
      </w:r>
    </w:p>
    <w:p>
      <w:pPr/>
      <w:r>
        <w:t>后台可先预览演职人员表格，再确认导入；输入有列数、行数和文件大小限制。确认和受保护的回滚使用 D1 批处理，减少只写入一部分演职关系的风险。导入路由（src/routes/credit-import.ts）、格式约束（src/services/credit-import/schema.ts）、提交逻辑（src/services/credit-import/commit.ts）可核对。旧材料中“导入只在本地”的说法与后续发布记录相冲突：仓库历史记录显示 V3.5 已部署相关功能，但本次没有登录线上后台重新执行导入。</w:t>
      </w:r>
    </w:p>
    <w:p>
      <w:pPr>
        <w:pStyle w:val="Heading1"/>
      </w:pPr>
      <w:r>
        <w:t>五 数据库 文件与媒体存储</w:t>
      </w:r>
    </w:p>
    <w:p>
      <w:pPr/>
      <w:r>
        <w:t>D1 存储账号、成员、作品、版本、演职记录、资源、上传任务、审核及导入记录。数据库结构通过编号迁移演进，目前仓库有 19 个迁移文件，最新是 0019 演职导入（migrations/0019_credit_imports.sql）。维护者应先检查迁移状态，再备份并执行生产迁移，不能把本地数据库已更新当作生产已更新。2026 年 9 月 22 日的历史发布记录称生产已应用至 0019；当前线上迁移状态待重新核验。</w:t>
      </w:r>
    </w:p>
    <w:p>
      <w:pPr/>
      <w:r>
        <w:t>R2 保存照片、剧本、音频等原始字节。代码明确关闭视频上传；照片最多 20 MiB、剧本 50 MiB，音频及其他文件 100 MiB，单片 50 MiB。9 GB 是应用层预算，综合已有对象和预留空间计算，并非 Cloudflare 账户或桶的真实容量上限。上传策略（src/services/upload-policy.ts）给出精确值。资源表仍是文件检索与权限的入口；不要直接把桶内容当作公开站点目录。</w:t>
      </w:r>
    </w:p>
    <w:p>
      <w:pPr/>
      <w:r>
        <w:t>D1 的批处理只能保证 D1 内相关写入的原子性，不能把 R2 对象写入一并纳入。实现用“先写对象、再确认记录；失败时记清理意图并重试”的补偿办法处理跨存储不一致。上传完成（src/services/uploads.ts）、文件清理（src/services/file-cleanup.ts）和定时任务（src/index.ts）形成闭环。此设计减少孤儿文件，但依赖清理任务持续运行；它不是跨 D1、R2 的强事务。</w:t>
      </w:r>
    </w:p>
    <w:p>
      <w:pPr/>
      <w:r>
        <w:t>图片字节可在边缘 Cache API（Worker 可读写的缓存接口）中短期复用。每次请求仍先做 D1 权限判断与 R2 对象检查，再考虑读取内部缓存；给浏览器的响应仍使用私有缓存约束。文件服务（src/services/resource-files.ts）及边缘缓存（src/services/edge-cache.ts）说明了缓存边界。站点设置另有短时间应用缓存，站点资料服务（src/services/site-profile.ts）在修改时失效，但不应据此承诺所有边缘位置瞬时一致。</w:t>
      </w:r>
    </w:p>
    <w:p>
      <w:pPr/>
      <w:r>
        <w:t>生产备份脚本导出 D1 SQL 到本地的忽略目录；它不包含 R2 文件。部署脚本（scripts/predeploy.mjs）中 backup 分支可核对。若需可恢复的完整归档，还必须另外定义 R2 备份、版本和恢复演练，仓库未提供经验证的端到端方案。</w:t>
      </w:r>
    </w:p>
    <w:p>
      <w:pPr>
        <w:pStyle w:val="Heading1"/>
      </w:pPr>
      <w:r>
        <w:t>六 权限与安全</w:t>
      </w:r>
    </w:p>
    <w:p>
      <w:pPr/>
      <w:r>
        <w:t>用户登录后获得 HMAC-SHA256 签名的会话令牌；这种签名让服务端能检查令牌是否被篡改。浏览器保存令牌的 Cookie（随请求发送的小型凭据）设置为 HttpOnly、SameSite=Lax，HTTPS 下带 Secure，有效期 14 天。每次需要身份的请求仍按令牌中的用户标识与认证版本查询 D1，以检查账号状态和强制改密条件。令牌（src/auth/session.ts）、Cookie（src/http/cookies.ts）、用户加载（src/middleware/session.ts）分别承担这些职责。密码用 scrypt 保存，同时兼容历史格式的验证，密码实现（src/auth/password.ts）可核对。</w:t>
      </w:r>
    </w:p>
    <w:p>
      <w:pPr/>
      <w:r>
        <w:t>权限不是只看是否登录。路由区分访客、普通成员与管理员；隐藏作品只让管理员访问，关联资源同样受限；上传、下载、审核和批量导入又各有入口检查。作品可见性（src/services/production-visibility.ts）、资源路由（src/routes/resources.ts）、后台门禁（src/middleware/admin-portal.ts）是审查权限时应连读的文件。后台域名只是同一 Worker 的独立入口，不提供天然的第二层服务器隔离。</w:t>
      </w:r>
    </w:p>
    <w:p>
      <w:pPr/>
      <w:r>
        <w:t>写入请求先受 Origin 与 Sec-Fetch-Site 同源检查，再由需要写入的路由检查 CSRF 令牌。页面还设置内容安全策略、禁止嗅探与框架嵌入等响应头；敏感页面和错误响应使用 no-store。安全中间件（src/middleware/security.ts）实现这些规则。生产配置开启 Turnstile，但代码把挑战用于注册和匿名反馈等指定流程，而不是每个请求；服务端会校验挑战动作和主机名，Turnstile 服务（src/services/turnstile.ts）可核对。限流记录放在 D1，限流中间件（src/middleware/request-limits.ts）负责读取与更新。</w:t>
      </w:r>
    </w:p>
    <w:p>
      <w:pPr>
        <w:pStyle w:val="Heading1"/>
      </w:pPr>
      <w:r>
        <w:t>七 部署和运维</w:t>
      </w:r>
    </w:p>
    <w:p>
      <w:pPr/>
      <w:r>
        <w:t>本地需要 Node.js 24 或更新版本。安装依赖后运行 npm run db:init 建立本地 D1，再用 npm run dev 启动开发 Worker；命令与版本约束见 package.json（package.json）。本地配置使用名为 blackbox-local 的 D1 与 blackbox-files 的 R2 绑定，不应把本地成功视作已验证生产环境。</w:t>
      </w:r>
    </w:p>
    <w:p>
      <w:pPr/>
      <w:r>
        <w:t>生产发布是显式操作，而不是 git push 自动触发。当前脚本的顺序应理解为：npm run deploy:check 执行格式、类型、后端测试和生产配置 dry run（只模拟构建，不发布）；npm run db:production:backup 导出 D1；npm run db:production:migrate 应用远端迁移；npm run deploy 发布 Worker；npm run smoke:production 对九个公开端点做基本响应检查。命令定义（package.json）、部署脚本（scripts/predeploy.mjs）与生产绑定（wrangler.jsonc）共同说明这条路径。deploy:check 本身不会发布，冒烟检查也无法代替登录、上传与后台操作验收。</w:t>
      </w:r>
    </w:p>
    <w:p>
      <w:pPr/>
      <w:r>
        <w:t>生产 Worker 在两个自定义域名上运行，D1 与 R2 通过 DB、FILES 绑定访问；生产环境声明会话与 Turnstile Secret 为必需项，具体值不应进入仓库。wrangler.jsonc（wrangler.jsonc）仅能证明声明，不能证明 Cloudflare 控制台中资源和 Secret 当前状态。配置启用 Workers 可观测性；错误中间件（src/middleware/errors.ts）只记录请求 ID、路由、状态码和总耗时等有限信息，没有逐条 SQL 查询耗时。故不能仅凭代码给出线上延迟或数据库瓶颈结论。</w:t>
      </w:r>
    </w:p>
    <w:p>
      <w:pPr/>
      <w:r>
        <w:t>仓库历史中的最近一份生产验证记录对应 2026 年 9 月 23 日的成员入社年份筛选发布；更早的 V3.5 记录在 9 月 22 日列出 0019 迁移、自动测试与九项冒烟检查。它们是当时的发布证据，不证明 9 月 26 日线上仍是同一版本，也不证明真实用户流程全部成功。历史记录已从工作树归档删除，可用 git show 2bbe8a4:docs/验证记录.md 与 git show 2bbe8a4:docs/releases/V3.5.md 查阅。</w:t>
      </w:r>
    </w:p>
    <w:p>
      <w:pPr>
        <w:pStyle w:val="Heading1"/>
      </w:pPr>
      <w:r>
        <w:t>八 已知限制与后续方向</w:t>
      </w:r>
    </w:p>
    <w:p>
      <w:pPr/>
      <w:r>
        <w:t>当前代码不开放视频上传。直传 R2 的实现存在，但当前线上凭据及启用状态待核验。D1 SQL 备份不覆盖 R2 文件，完整恢复路径仍需设计与演练。历史发布记录有测试和公开端点冒烟检查，但没有本次的线上权限、上传、后台导入或恢复演练结果。现有日志也不足以量化单条 D1 查询或端到端媒体访问表现。这些应作为下一轮运维核验和观测任务，而不是写成已完成能力。</w:t>
      </w:r>
    </w:p>
    <w:p>
      <w:pPr/>
      <w:r>
        <w:t>仍待确认的历史问题有两项：最初选择 Cloudflare 组合的决策过程，以及部分审核规则当时的业务依据。代码能证明系统现在怎样工作，不能证明当初为什么决定这样做。若后续找到会议纪要或负责人确认，可把依据补入本文，并保留核验日期。</w:t>
      </w:r>
    </w:p>
    <w:p>
      <w:pPr>
        <w:pStyle w:val="Heading1"/>
        <w:pageBreakBefore/>
      </w:pPr>
      <w:r>
        <w:t>写法参考与核验入口</w:t>
      </w:r>
    </w:p>
    <w:p>
      <w:pPr/>
      <w:r>
        <w:t>本文通过 GitHub 工具查看了持续维护、星标较多且与本项目技术表达有关的项目，只借鉴组织方式：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1872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888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参考点</w:t>
            </w:r>
          </w:p>
        </w:tc>
        <w:tc>
          <w:tcPr>
            <w:tcW w:type="dxa" w:w="3600"/>
            <w:shd w:fill="6A2031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b/>
                <w:color w:val="FFFFFF"/>
                <w:sz w:val="18"/>
              </w:rPr>
              <w:t>本文的使用方式</w:t>
            </w:r>
          </w:p>
        </w:tc>
      </w:tr>
      <w:tr>
        <w:trPr>
          <w:cantSplit/>
        </w:trPr>
        <w:tc>
          <w:tcPr>
            <w:tcW w:type="dxa" w:w="1872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Hono README（https://github.com/honojs/hono/blob/main/README.md）</w:t>
            </w:r>
          </w:p>
        </w:tc>
        <w:tc>
          <w:tcPr>
            <w:tcW w:type="dxa" w:w="3888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先用一句话建立框架定位，再给最小请求示例和深入入口</w:t>
            </w:r>
          </w:p>
        </w:tc>
        <w:tc>
          <w:tcPr>
            <w:tcW w:type="dxa" w:w="3600"/>
            <w:shd w:fill="F7F1EB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先解释单 Worker，再用两条请求路径展示运行方式</w:t>
            </w:r>
          </w:p>
        </w:tc>
      </w:tr>
      <w:tr>
        <w:trPr>
          <w:cantSplit/>
        </w:trPr>
        <w:tc>
          <w:tcPr>
            <w:tcW w:type="dxa" w:w="1872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Directus README（https://github.com/directus/directus/blob/main/readme.md）</w:t>
            </w:r>
          </w:p>
        </w:tc>
        <w:tc>
          <w:tcPr>
            <w:tcW w:type="dxa" w:w="3888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从读者能完成的任务组织能力，再链接到细节</w:t>
            </w:r>
          </w:p>
        </w:tc>
        <w:tc>
          <w:tcPr>
            <w:tcW w:type="dxa" w:w="3600"/>
            <w:shd w:fill="FFFFFF"/>
          </w:tcPr>
          <w:p>
            <w:pPr>
              <w:keepNext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以浏览、投稿、后台导入串起路由与存储</w:t>
            </w:r>
          </w:p>
        </w:tc>
      </w:tr>
      <w:tr>
        <w:trPr>
          <w:cantSplit/>
        </w:trPr>
        <w:tc>
          <w:tcPr>
            <w:tcW w:type="dxa" w:w="1872"/>
            <w:shd w:fill="F7F1EB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Cloudflare Workers SDK README（https://github.com/cloudflare/workers-sdk/blob/main/README.md）</w:t>
            </w:r>
          </w:p>
        </w:tc>
        <w:tc>
          <w:tcPr>
            <w:tcW w:type="dxa" w:w="3888"/>
            <w:shd w:fill="F7F1EB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快速开始与组件目录清楚分层</w:t>
            </w:r>
          </w:p>
        </w:tc>
        <w:tc>
          <w:tcPr>
            <w:tcW w:type="dxa" w:w="3600"/>
            <w:shd w:fill="F7F1EB"/>
          </w:tcPr>
          <w:p>
            <w:pPr>
              <w:keepNext w:val="0"/>
              <w:spacing w:after="0" w:line="283" w:lineRule="auto"/>
            </w:pPr>
            <w:r>
              <w:rPr>
                <w:rFonts w:ascii="Microsoft YaHei" w:hAnsi="Microsoft YaHei"/>
                <w:sz w:val="17"/>
              </w:rPr>
              <w:t>本地启动、生产发布和配置边界各归其位</w:t>
            </w:r>
          </w:p>
        </w:tc>
      </w:tr>
    </w:tbl>
    <w:p/>
    <w:p>
      <w:pPr/>
      <w:r>
        <w:t>技术结论以本仓库所链接代码和配置为准。Cloudflare 产品概念可另查 Workers（https://developers.cloudflare.com/workers/）、D1（https://developers.cloudflare.com/d1/） 与 R2（https://developers.cloudflare.com/r2/） 官方文档；外部项目的业务或技术选择没有移植为本项目事实。</w:t>
      </w:r>
    </w:p>
    <w:sectPr>
      <w:headerReference r:id="rId9" w:type="default"/>
      <w:footerReference r:id="rId10" w:type="default"/>
      <w:type w:val="nextPage"/>
      <w:pgSz w:h="15840" w:w="12240" w:orient="portrait"/>
      <w:pgMar w:bottom="979" w:top="112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黑匣子技术归档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2026 09 26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317" w:lineRule="auto"/>
    </w:pPr>
    <w:rPr>
      <w:sz w:val="19"/>
    </w:rPr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Microsoft YaHei" w:cs="Helvetica Neue" w:eastAsia="Microsoft YaHei" w:hAnsi="Microsoft YaHei"/>
      <w:b w:val="0"/>
      <w:bCs w:val="0"/>
      <w:color w:val="621F3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Microsoft YaHei" w:cs="Helvetica Neue" w:eastAsia="Microsoft YaHei" w:hAnsi="Microsoft YaHei"/>
      <w:b w:val="0"/>
      <w:bCs w:val="0"/>
      <w:color w:val="621F3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rFonts w:ascii="Microsoft YaHei" w:hAnsi="Microsoft YaHei" w:eastAsia="Microsoft YaHei"/>
      <w:b w:val="1"/>
      <w:bCs w:val="1"/>
      <w:color w:val="26201E"/>
      <w:sz w:val="50"/>
      <w:szCs w:val="80"/>
    </w:rPr>
  </w:style>
  <w:style w:type="paragraph" w:styleId="Subtitle">
    <w:name w:val="Subtitle"/>
    <w:basedOn w:val="Normal"/>
    <w:next w:val="Normal"/>
    <w:pPr/>
    <w:rPr>
      <w:rFonts w:ascii="Microsoft YaHei" w:hAnsi="Microsoft YaHei" w:eastAsia="Microsoft YaHei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