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情绪调节能力指数（27）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认知灵活度指数（132）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关系敏感度指数（78）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内在冲突度指数（79）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成长潜能指数（13）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27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132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78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13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