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情绪调节能力指数（27）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认知灵活度指数（126）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关系敏感度指数（78）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内在冲突度指数（76）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成长潜能指数（13）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27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126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78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13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