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</w:t>
      </w:r>
      <w:r>
        <w:rPr>
          <w:i/>
        </w:rPr>
        <w:t>session</w:t>
      </w:r>
      <w:r/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01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情绪调节能力指数（24）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认知灵活度指数（108）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关系敏感度指数（72）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内在冲突度指数（66）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成长潜能指数（13）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24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108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72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【感性驱动型人格（Emotion-Dominant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13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