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200" w:after="120"/>
        <w:jc w:val="center"/>
      </w:pPr>
      <w:r>
        <w:rPr>
          <w:rFonts w:ascii="黑体" w:hAnsi="黑体" w:eastAsia="黑体"/>
          <w:b/>
          <w:sz w:val="36"/>
        </w:rPr>
        <w:t>五、问题一的模型建立与求解部分</w:t>
      </w:r>
    </w:p>
    <w:p>
      <w:pPr>
        <w:spacing w:before="200" w:after="120"/>
      </w:pPr>
      <w:r>
        <w:rPr>
          <w:rFonts w:ascii="黑体" w:hAnsi="黑体" w:eastAsia="黑体"/>
          <w:b/>
          <w:sz w:val="30"/>
        </w:rPr>
        <w:t>5.1 数据预处理</w:t>
      </w:r>
    </w:p>
    <w:p>
      <w:pPr>
        <w:spacing w:after="120" w:line="324" w:lineRule="auto"/>
      </w:pPr>
      <w:r>
        <w:rPr>
          <w:rFonts w:ascii="宋体" w:hAnsi="宋体" w:eastAsia="宋体"/>
          <w:b w:val="0"/>
          <w:sz w:val="22"/>
        </w:rPr>
        <w:t>本问题数据具有明显的日周期性和峰谷差异，可直接支撑确定性经济调度。附件1包含144个10分钟时段的电价、小区负载和光伏预测功率，电价范围为0.3713～1.3952元/kWh，负载功率范围为3309.3934～5958.9696kW，光伏功率范围为0.0000～7612.3160kW；全天负载电量为111024.8081kWh，光伏电量为55482.8357kWh。由图1至图3可见，电价呈明显峰谷分布，净负荷在早晚时段较高、午间可能为负，电价与负荷峰值并非完全重合，因而储能具有跨时段调节价值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60000" cy="2126769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预处理_电价曲线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212676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宋体" w:hAnsi="宋体" w:eastAsia="宋体"/>
          <w:b w:val="0"/>
          <w:sz w:val="22"/>
        </w:rPr>
        <w:t>图1 电价曲线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60000" cy="2215385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预处理_负载光伏与净负荷功率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221538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宋体" w:hAnsi="宋体" w:eastAsia="宋体"/>
          <w:b w:val="0"/>
          <w:sz w:val="22"/>
        </w:rPr>
        <w:t>图2 负载、光伏与净负荷功率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60000" cy="2215385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预处理_负载光伏与净负荷电量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221538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宋体" w:hAnsi="宋体" w:eastAsia="宋体"/>
          <w:b w:val="0"/>
          <w:sz w:val="22"/>
        </w:rPr>
        <w:t>图3 负载、光伏与净负荷电量</w:t>
      </w:r>
    </w:p>
    <w:p>
      <w:pPr>
        <w:spacing w:after="120" w:line="324" w:lineRule="auto"/>
      </w:pPr>
      <w:r>
        <w:rPr>
          <w:rFonts w:ascii="宋体" w:hAnsi="宋体" w:eastAsia="宋体"/>
          <w:b w:val="0"/>
          <w:sz w:val="22"/>
        </w:rPr>
        <w:t>数据处理按以下五个步骤完成：</w:t>
      </w:r>
    </w:p>
    <w:p>
      <w:pPr>
        <w:spacing w:after="80" w:line="312" w:lineRule="auto"/>
        <w:ind w:left="420" w:hanging="420"/>
      </w:pPr>
      <w:r>
        <w:rPr>
          <w:rFonts w:ascii="宋体" w:hAnsi="宋体" w:eastAsia="宋体"/>
          <w:b w:val="0"/>
          <w:sz w:val="22"/>
        </w:rPr>
        <w:t>1. 数据读取保证模型输入与附件1一致。读取附件1的144个10分钟数据点，统一识别“时间、电价、小区负载、光伏发电预测功率”四个字段。</w:t>
      </w:r>
    </w:p>
    <w:p>
      <w:pPr>
        <w:spacing w:after="80" w:line="312" w:lineRule="auto"/>
        <w:ind w:left="420" w:hanging="420"/>
      </w:pPr>
      <w:r>
        <w:rPr>
          <w:rFonts w:ascii="宋体" w:hAnsi="宋体" w:eastAsia="宋体"/>
          <w:b w:val="0"/>
          <w:sz w:val="22"/>
        </w:rPr>
        <w:t>2. 时间映射消除模板时间标签错位风险。将附件中的</w:t>
      </w:r>
      <w:r>
        <w:rPr>
          <w:rFonts w:ascii="Consolas" w:hAnsi="Consolas" w:eastAsia="Consolas"/>
          <w:b w:val="0"/>
          <w:sz w:val="20"/>
        </w:rPr>
        <w:t>00:10</w:t>
      </w:r>
      <w:r>
        <w:rPr>
          <w:rFonts w:ascii="宋体" w:hAnsi="宋体" w:eastAsia="宋体"/>
          <w:b w:val="0"/>
          <w:sz w:val="22"/>
        </w:rPr>
        <w:t>至</w:t>
      </w:r>
      <w:r>
        <w:rPr>
          <w:rFonts w:ascii="Consolas" w:hAnsi="Consolas" w:eastAsia="Consolas"/>
          <w:b w:val="0"/>
          <w:sz w:val="20"/>
        </w:rPr>
        <w:t>0:00+1</w:t>
      </w:r>
      <w:r>
        <w:rPr>
          <w:rFonts w:ascii="宋体" w:hAnsi="宋体" w:eastAsia="宋体"/>
          <w:b w:val="0"/>
          <w:sz w:val="22"/>
        </w:rPr>
        <w:t>依次解释为自然区间</w:t>
      </w:r>
      <w:r>
        <w:rPr>
          <w:rFonts w:ascii="Consolas" w:hAnsi="Consolas" w:eastAsia="Consolas"/>
          <w:b w:val="0"/>
          <w:sz w:val="20"/>
        </w:rPr>
        <w:t>00:00-00:10</w:t>
      </w:r>
      <w:r>
        <w:rPr>
          <w:rFonts w:ascii="宋体" w:hAnsi="宋体" w:eastAsia="宋体"/>
          <w:b w:val="0"/>
          <w:sz w:val="22"/>
        </w:rPr>
        <w:t>至</w:t>
      </w:r>
      <w:r>
        <w:rPr>
          <w:rFonts w:ascii="Consolas" w:hAnsi="Consolas" w:eastAsia="Consolas"/>
          <w:b w:val="0"/>
          <w:sz w:val="20"/>
        </w:rPr>
        <w:t>23:50-24:00</w:t>
      </w:r>
      <w:r>
        <w:rPr>
          <w:rFonts w:ascii="宋体" w:hAnsi="宋体" w:eastAsia="宋体"/>
          <w:b w:val="0"/>
          <w:sz w:val="22"/>
        </w:rPr>
        <w:t>。</w:t>
      </w:r>
    </w:p>
    <w:p>
      <w:pPr>
        <w:spacing w:after="80" w:line="312" w:lineRule="auto"/>
        <w:ind w:left="420" w:hanging="420"/>
      </w:pPr>
      <w:r>
        <w:rPr>
          <w:rFonts w:ascii="宋体" w:hAnsi="宋体" w:eastAsia="宋体"/>
          <w:b w:val="0"/>
          <w:sz w:val="22"/>
        </w:rPr>
        <w:t>3. 净负荷计算生成功率级输入。按</w:t>
      </w:r>
      <w:r>
        <w:rPr>
          <w:rFonts w:ascii="Cambria Math" w:hAnsi="Cambria Math" w:eastAsia="Cambria Math"/>
          <w:b w:val="0"/>
          <w:i/>
          <w:sz w:val="22"/>
        </w:rPr>
        <w:t>P</w:t>
      </w:r>
      <w:r>
        <w:rPr>
          <w:rFonts w:ascii="Cambria Math" w:hAnsi="Cambria Math" w:eastAsia="Cambria Math"/>
          <w:b w:val="0"/>
          <w:i/>
          <w:sz w:val="22"/>
          <w:vertAlign w:val="subscript"/>
        </w:rPr>
        <w:t>t</w:t>
      </w:r>
      <w:r>
        <w:rPr>
          <w:rFonts w:ascii="Cambria Math" w:hAnsi="Cambria Math" w:eastAsia="Cambria Math"/>
          <w:b w:val="0"/>
          <w:i/>
          <w:sz w:val="22"/>
          <w:vertAlign w:val="superscript"/>
        </w:rPr>
        <w:t>net</w:t>
      </w:r>
      <w:r>
        <w:rPr>
          <w:rFonts w:ascii="Cambria Math" w:hAnsi="Cambria Math" w:eastAsia="Cambria Math"/>
          <w:b w:val="0"/>
          <w:i/>
          <w:sz w:val="22"/>
        </w:rPr>
        <w:t>=P</w:t>
      </w:r>
      <w:r>
        <w:rPr>
          <w:rFonts w:ascii="Cambria Math" w:hAnsi="Cambria Math" w:eastAsia="Cambria Math"/>
          <w:b w:val="0"/>
          <w:i/>
          <w:sz w:val="22"/>
          <w:vertAlign w:val="subscript"/>
        </w:rPr>
        <w:t>t</w:t>
      </w:r>
      <w:r>
        <w:rPr>
          <w:rFonts w:ascii="Cambria Math" w:hAnsi="Cambria Math" w:eastAsia="Cambria Math"/>
          <w:b w:val="0"/>
          <w:i/>
          <w:sz w:val="22"/>
          <w:vertAlign w:val="superscript"/>
        </w:rPr>
        <w:t>L</w:t>
      </w:r>
      <w:r>
        <w:rPr>
          <w:rFonts w:ascii="Cambria Math" w:hAnsi="Cambria Math" w:eastAsia="Cambria Math"/>
          <w:b w:val="0"/>
          <w:i/>
          <w:sz w:val="22"/>
        </w:rPr>
        <w:t>-P</w:t>
      </w:r>
      <w:r>
        <w:rPr>
          <w:rFonts w:ascii="Cambria Math" w:hAnsi="Cambria Math" w:eastAsia="Cambria Math"/>
          <w:b w:val="0"/>
          <w:i/>
          <w:sz w:val="22"/>
          <w:vertAlign w:val="subscript"/>
        </w:rPr>
        <w:t>t</w:t>
      </w:r>
      <w:r>
        <w:rPr>
          <w:rFonts w:ascii="Cambria Math" w:hAnsi="Cambria Math" w:eastAsia="Cambria Math"/>
          <w:b w:val="0"/>
          <w:i/>
          <w:sz w:val="22"/>
          <w:vertAlign w:val="superscript"/>
        </w:rPr>
        <w:t>PV</w:t>
      </w:r>
      <w:r>
        <w:rPr>
          <w:rFonts w:ascii="宋体" w:hAnsi="宋体" w:eastAsia="宋体"/>
          <w:b w:val="0"/>
          <w:sz w:val="22"/>
        </w:rPr>
        <w:t>计算净负荷功率，其中</w:t>
      </w:r>
      <w:r>
        <w:rPr>
          <w:rFonts w:ascii="Cambria Math" w:hAnsi="Cambria Math" w:eastAsia="Cambria Math"/>
          <w:b w:val="0"/>
          <w:i/>
          <w:sz w:val="22"/>
        </w:rPr>
        <w:t>P</w:t>
      </w:r>
      <w:r>
        <w:rPr>
          <w:rFonts w:ascii="Cambria Math" w:hAnsi="Cambria Math" w:eastAsia="Cambria Math"/>
          <w:b w:val="0"/>
          <w:i/>
          <w:sz w:val="22"/>
          <w:vertAlign w:val="subscript"/>
        </w:rPr>
        <w:t>t</w:t>
      </w:r>
      <w:r>
        <w:rPr>
          <w:rFonts w:ascii="Cambria Math" w:hAnsi="Cambria Math" w:eastAsia="Cambria Math"/>
          <w:b w:val="0"/>
          <w:i/>
          <w:sz w:val="22"/>
          <w:vertAlign w:val="superscript"/>
        </w:rPr>
        <w:t>L</w:t>
      </w:r>
      <w:r>
        <w:rPr>
          <w:rFonts w:ascii="宋体" w:hAnsi="宋体" w:eastAsia="宋体"/>
          <w:b w:val="0"/>
          <w:sz w:val="22"/>
        </w:rPr>
        <w:t>为小区负载，</w:t>
      </w:r>
      <w:r>
        <w:rPr>
          <w:rFonts w:ascii="Cambria Math" w:hAnsi="Cambria Math" w:eastAsia="Cambria Math"/>
          <w:b w:val="0"/>
          <w:i/>
          <w:sz w:val="22"/>
        </w:rPr>
        <w:t>P</w:t>
      </w:r>
      <w:r>
        <w:rPr>
          <w:rFonts w:ascii="Cambria Math" w:hAnsi="Cambria Math" w:eastAsia="Cambria Math"/>
          <w:b w:val="0"/>
          <w:i/>
          <w:sz w:val="22"/>
          <w:vertAlign w:val="subscript"/>
        </w:rPr>
        <w:t>t</w:t>
      </w:r>
      <w:r>
        <w:rPr>
          <w:rFonts w:ascii="Cambria Math" w:hAnsi="Cambria Math" w:eastAsia="Cambria Math"/>
          <w:b w:val="0"/>
          <w:i/>
          <w:sz w:val="22"/>
          <w:vertAlign w:val="superscript"/>
        </w:rPr>
        <w:t>PV</w:t>
      </w:r>
      <w:r>
        <w:rPr>
          <w:rFonts w:ascii="宋体" w:hAnsi="宋体" w:eastAsia="宋体"/>
          <w:b w:val="0"/>
          <w:sz w:val="22"/>
        </w:rPr>
        <w:t>为光伏预测功率。</w:t>
      </w:r>
    </w:p>
    <w:p>
      <w:pPr>
        <w:spacing w:after="80" w:line="312" w:lineRule="auto"/>
        <w:ind w:left="420" w:hanging="420"/>
      </w:pPr>
      <w:r>
        <w:rPr>
          <w:rFonts w:ascii="宋体" w:hAnsi="宋体" w:eastAsia="宋体"/>
          <w:b w:val="0"/>
          <w:sz w:val="22"/>
        </w:rPr>
        <w:t>4. 量纲转换将功率换算为10分钟电量。取</w:t>
      </w:r>
      <w:r>
        <w:rPr>
          <w:rFonts w:ascii="Cambria Math" w:hAnsi="Cambria Math" w:eastAsia="Cambria Math"/>
          <w:b w:val="0"/>
          <w:i/>
          <w:sz w:val="22"/>
        </w:rPr>
        <w:t>Δ</w:t>
      </w:r>
      <w:r>
        <w:rPr>
          <w:rFonts w:ascii="Cambria Math" w:hAnsi="Cambria Math" w:eastAsia="Cambria Math"/>
          <w:b w:val="0"/>
          <w:i/>
          <w:sz w:val="22"/>
        </w:rPr>
        <w:t xml:space="preserve"> t=1/6</w:t>
      </w:r>
      <w:r>
        <w:rPr>
          <w:rFonts w:ascii="宋体" w:hAnsi="宋体" w:eastAsia="宋体"/>
          <w:b w:val="0"/>
          <w:sz w:val="22"/>
        </w:rPr>
        <w:t>h，按</w:t>
      </w:r>
      <w:r>
        <w:rPr>
          <w:rFonts w:ascii="Cambria Math" w:hAnsi="Cambria Math" w:eastAsia="Cambria Math"/>
          <w:b w:val="0"/>
          <w:i/>
          <w:sz w:val="22"/>
        </w:rPr>
        <w:t>E</w:t>
      </w:r>
      <w:r>
        <w:rPr>
          <w:rFonts w:ascii="Cambria Math" w:hAnsi="Cambria Math" w:eastAsia="Cambria Math"/>
          <w:b w:val="0"/>
          <w:i/>
          <w:sz w:val="22"/>
          <w:vertAlign w:val="subscript"/>
        </w:rPr>
        <w:t>t</w:t>
      </w:r>
      <w:r>
        <w:rPr>
          <w:rFonts w:ascii="Cambria Math" w:hAnsi="Cambria Math" w:eastAsia="Cambria Math"/>
          <w:b w:val="0"/>
          <w:i/>
          <w:sz w:val="22"/>
          <w:vertAlign w:val="superscript"/>
        </w:rPr>
        <w:t>L</w:t>
      </w:r>
      <w:r>
        <w:rPr>
          <w:rFonts w:ascii="Cambria Math" w:hAnsi="Cambria Math" w:eastAsia="Cambria Math"/>
          <w:b w:val="0"/>
          <w:i/>
          <w:sz w:val="22"/>
        </w:rPr>
        <w:t>=P</w:t>
      </w:r>
      <w:r>
        <w:rPr>
          <w:rFonts w:ascii="Cambria Math" w:hAnsi="Cambria Math" w:eastAsia="Cambria Math"/>
          <w:b w:val="0"/>
          <w:i/>
          <w:sz w:val="22"/>
          <w:vertAlign w:val="subscript"/>
        </w:rPr>
        <w:t>t</w:t>
      </w:r>
      <w:r>
        <w:rPr>
          <w:rFonts w:ascii="Cambria Math" w:hAnsi="Cambria Math" w:eastAsia="Cambria Math"/>
          <w:b w:val="0"/>
          <w:i/>
          <w:sz w:val="22"/>
          <w:vertAlign w:val="superscript"/>
        </w:rPr>
        <w:t>L</w:t>
      </w:r>
      <w:r>
        <w:rPr>
          <w:rFonts w:ascii="Cambria Math" w:hAnsi="Cambria Math" w:eastAsia="Cambria Math"/>
          <w:b w:val="0"/>
          <w:i/>
          <w:sz w:val="22"/>
        </w:rPr>
        <w:t>Δ</w:t>
      </w:r>
      <w:r>
        <w:rPr>
          <w:rFonts w:ascii="Cambria Math" w:hAnsi="Cambria Math" w:eastAsia="Cambria Math"/>
          <w:b w:val="0"/>
          <w:i/>
          <w:sz w:val="22"/>
        </w:rPr>
        <w:t xml:space="preserve"> t</w:t>
      </w:r>
      <w:r>
        <w:rPr>
          <w:rFonts w:ascii="宋体" w:hAnsi="宋体" w:eastAsia="宋体"/>
          <w:b w:val="0"/>
          <w:sz w:val="22"/>
        </w:rPr>
        <w:t>、</w:t>
      </w:r>
      <w:r>
        <w:rPr>
          <w:rFonts w:ascii="Cambria Math" w:hAnsi="Cambria Math" w:eastAsia="Cambria Math"/>
          <w:b w:val="0"/>
          <w:i/>
          <w:sz w:val="22"/>
        </w:rPr>
        <w:t>E</w:t>
      </w:r>
      <w:r>
        <w:rPr>
          <w:rFonts w:ascii="Cambria Math" w:hAnsi="Cambria Math" w:eastAsia="Cambria Math"/>
          <w:b w:val="0"/>
          <w:i/>
          <w:sz w:val="22"/>
          <w:vertAlign w:val="subscript"/>
        </w:rPr>
        <w:t>t</w:t>
      </w:r>
      <w:r>
        <w:rPr>
          <w:rFonts w:ascii="Cambria Math" w:hAnsi="Cambria Math" w:eastAsia="Cambria Math"/>
          <w:b w:val="0"/>
          <w:i/>
          <w:sz w:val="22"/>
          <w:vertAlign w:val="superscript"/>
        </w:rPr>
        <w:t>PV</w:t>
      </w:r>
      <w:r>
        <w:rPr>
          <w:rFonts w:ascii="Cambria Math" w:hAnsi="Cambria Math" w:eastAsia="Cambria Math"/>
          <w:b w:val="0"/>
          <w:i/>
          <w:sz w:val="22"/>
        </w:rPr>
        <w:t>=P</w:t>
      </w:r>
      <w:r>
        <w:rPr>
          <w:rFonts w:ascii="Cambria Math" w:hAnsi="Cambria Math" w:eastAsia="Cambria Math"/>
          <w:b w:val="0"/>
          <w:i/>
          <w:sz w:val="22"/>
          <w:vertAlign w:val="subscript"/>
        </w:rPr>
        <w:t>t</w:t>
      </w:r>
      <w:r>
        <w:rPr>
          <w:rFonts w:ascii="Cambria Math" w:hAnsi="Cambria Math" w:eastAsia="Cambria Math"/>
          <w:b w:val="0"/>
          <w:i/>
          <w:sz w:val="22"/>
          <w:vertAlign w:val="superscript"/>
        </w:rPr>
        <w:t>PV</w:t>
      </w:r>
      <w:r>
        <w:rPr>
          <w:rFonts w:ascii="Cambria Math" w:hAnsi="Cambria Math" w:eastAsia="Cambria Math"/>
          <w:b w:val="0"/>
          <w:i/>
          <w:sz w:val="22"/>
        </w:rPr>
        <w:t>Δ</w:t>
      </w:r>
      <w:r>
        <w:rPr>
          <w:rFonts w:ascii="Cambria Math" w:hAnsi="Cambria Math" w:eastAsia="Cambria Math"/>
          <w:b w:val="0"/>
          <w:i/>
          <w:sz w:val="22"/>
        </w:rPr>
        <w:t xml:space="preserve"> t</w:t>
      </w:r>
      <w:r>
        <w:rPr>
          <w:rFonts w:ascii="宋体" w:hAnsi="宋体" w:eastAsia="宋体"/>
          <w:b w:val="0"/>
          <w:sz w:val="22"/>
        </w:rPr>
        <w:t>、</w:t>
      </w:r>
      <w:r>
        <w:rPr>
          <w:rFonts w:ascii="Cambria Math" w:hAnsi="Cambria Math" w:eastAsia="Cambria Math"/>
          <w:b w:val="0"/>
          <w:i/>
          <w:sz w:val="22"/>
        </w:rPr>
        <w:t>E</w:t>
      </w:r>
      <w:r>
        <w:rPr>
          <w:rFonts w:ascii="Cambria Math" w:hAnsi="Cambria Math" w:eastAsia="Cambria Math"/>
          <w:b w:val="0"/>
          <w:i/>
          <w:sz w:val="22"/>
          <w:vertAlign w:val="subscript"/>
        </w:rPr>
        <w:t>t</w:t>
      </w:r>
      <w:r>
        <w:rPr>
          <w:rFonts w:ascii="Cambria Math" w:hAnsi="Cambria Math" w:eastAsia="Cambria Math"/>
          <w:b w:val="0"/>
          <w:i/>
          <w:sz w:val="22"/>
          <w:vertAlign w:val="superscript"/>
        </w:rPr>
        <w:t>net</w:t>
      </w:r>
      <w:r>
        <w:rPr>
          <w:rFonts w:ascii="Cambria Math" w:hAnsi="Cambria Math" w:eastAsia="Cambria Math"/>
          <w:b w:val="0"/>
          <w:i/>
          <w:sz w:val="22"/>
        </w:rPr>
        <w:t>=P</w:t>
      </w:r>
      <w:r>
        <w:rPr>
          <w:rFonts w:ascii="Cambria Math" w:hAnsi="Cambria Math" w:eastAsia="Cambria Math"/>
          <w:b w:val="0"/>
          <w:i/>
          <w:sz w:val="22"/>
          <w:vertAlign w:val="subscript"/>
        </w:rPr>
        <w:t>t</w:t>
      </w:r>
      <w:r>
        <w:rPr>
          <w:rFonts w:ascii="Cambria Math" w:hAnsi="Cambria Math" w:eastAsia="Cambria Math"/>
          <w:b w:val="0"/>
          <w:i/>
          <w:sz w:val="22"/>
          <w:vertAlign w:val="superscript"/>
        </w:rPr>
        <w:t>net</w:t>
      </w:r>
      <w:r>
        <w:rPr>
          <w:rFonts w:ascii="Cambria Math" w:hAnsi="Cambria Math" w:eastAsia="Cambria Math"/>
          <w:b w:val="0"/>
          <w:i/>
          <w:sz w:val="22"/>
        </w:rPr>
        <w:t>Δ</w:t>
      </w:r>
      <w:r>
        <w:rPr>
          <w:rFonts w:ascii="Cambria Math" w:hAnsi="Cambria Math" w:eastAsia="Cambria Math"/>
          <w:b w:val="0"/>
          <w:i/>
          <w:sz w:val="22"/>
        </w:rPr>
        <w:t xml:space="preserve"> t</w:t>
      </w:r>
      <w:r>
        <w:rPr>
          <w:rFonts w:ascii="宋体" w:hAnsi="宋体" w:eastAsia="宋体"/>
          <w:b w:val="0"/>
          <w:sz w:val="22"/>
        </w:rPr>
        <w:t>分别计算负载电量、光伏电量和净负荷电量。</w:t>
      </w:r>
    </w:p>
    <w:p>
      <w:pPr>
        <w:spacing w:after="80" w:line="312" w:lineRule="auto"/>
        <w:ind w:left="420" w:hanging="420"/>
      </w:pPr>
      <w:r>
        <w:rPr>
          <w:rFonts w:ascii="宋体" w:hAnsi="宋体" w:eastAsia="宋体"/>
          <w:b w:val="0"/>
          <w:sz w:val="22"/>
        </w:rPr>
        <w:t>5. 可视化输出仅使用原始144个数据点。分别绘制电价曲线、负载光伏净负荷功率曲线和负载光伏净负荷电量曲线，未进行插值、补值，也不包含购电计划、储能调度或MILP求解结果。</w:t>
      </w:r>
    </w:p>
    <w:p>
      <w:pPr>
        <w:spacing w:before="200" w:after="120"/>
      </w:pPr>
      <w:r>
        <w:rPr>
          <w:rFonts w:ascii="黑体" w:hAnsi="黑体" w:eastAsia="黑体"/>
          <w:b/>
          <w:sz w:val="30"/>
        </w:rPr>
        <w:t>5.2 确定性MILP模型建立</w:t>
      </w:r>
    </w:p>
    <w:p>
      <w:pPr>
        <w:spacing w:after="120" w:line="324" w:lineRule="auto"/>
      </w:pPr>
      <w:r>
        <w:rPr>
          <w:rFonts w:ascii="宋体" w:hAnsi="宋体" w:eastAsia="宋体"/>
          <w:b w:val="0"/>
          <w:sz w:val="22"/>
        </w:rPr>
        <w:t>问题一适宜建立为单日确定性储能经济调度混合整数线性规划模型。模型假设各时段内功率与电价保持不变，光伏预测值等于实际值，忽略自放电和电池退化成本，且不允许向外部电网售电。模型按五步建立：第一步定义决策变量；第二步建立购电费用最小化目标；第三步建立电能平衡约束；第四步建立储能荷电状态递推约束；第五步引入功率互斥、储能安全和日循环约束。</w:t>
      </w:r>
    </w:p>
    <w:p>
      <w:pPr>
        <w:spacing w:after="120" w:line="324" w:lineRule="auto"/>
      </w:pPr>
      <w:r>
        <w:rPr>
          <w:rFonts w:ascii="宋体" w:hAnsi="宋体" w:eastAsia="宋体"/>
          <w:b w:val="0"/>
          <w:sz w:val="22"/>
        </w:rPr>
        <w:t>购电费用最小化构成本模型的目标函数，如式（1）所示：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533"/>
        <w:gridCol w:w="4533"/>
      </w:tblGrid>
      <w:tr>
        <w:tc>
          <w:tcPr>
            <w:tcW w:type="dxa" w:w="7371"/>
          </w:tcPr>
          <w:p>
            <w:pPr>
              <w:spacing w:before="60" w:after="60"/>
              <w:jc w:val="center"/>
            </w:pPr>
            <m:oMathPara>
              <m:oMath>
                <m:r>
                  <m:t xml:space="preserve">min </m:t>
                </m:r>
                <m:r>
                  <m:t xml:space="preserve">Z=</m:t>
                </m:r>
                <m:nary>
                  <m:naryPr>
                    <m:chr m:val="∑"/>
                    <m:limLoc m:val="undOvr"/>
                  </m:naryPr>
                  <m:sub>
                    <m:r>
                      <m:t xml:space="preserve">t=1</m:t>
                    </m:r>
                  </m:sub>
                  <m:sup>
                    <m:r>
                      <m:t xml:space="preserve">144</m:t>
                    </m:r>
                  </m:sup>
                  <m:e>
                    <m:sSub>
                      <m:e>
                        <m:r>
                          <m:t xml:space="preserve">π</m:t>
                        </m:r>
                      </m:e>
                      <m:sub>
                        <m:r>
                          <m:t xml:space="preserve">t</m:t>
                        </m:r>
                      </m:sub>
                    </m:sSub>
                    <m:sSub>
                      <m:e>
                        <m:r>
                          <m:t xml:space="preserve">x</m:t>
                        </m:r>
                      </m:e>
                      <m:sub>
                        <m:r>
                          <m:t xml:space="preserve">t</m:t>
                        </m:r>
                      </m:sub>
                    </m:sSub>
                  </m:e>
                </m:nary>
              </m:oMath>
            </m:oMathPara>
          </w:p>
        </w:tc>
        <w:tc>
          <w:tcPr>
            <w:tcW w:type="dxa" w:w="1360"/>
          </w:tcPr>
          <w:p>
            <w:pPr>
              <w:jc w:val="right"/>
            </w:pPr>
            <w:r>
              <w:rPr>
                <w:rFonts w:ascii="Times New Roman" w:hAnsi="Times New Roman" w:eastAsia="Times New Roman"/>
                <w:b w:val="0"/>
                <w:sz w:val="22"/>
              </w:rPr>
              <w:t>(1)</w:t>
            </w:r>
          </w:p>
        </w:tc>
      </w:tr>
    </w:tbl>
    <w:p>
      <w:pPr>
        <w:spacing w:after="120" w:line="324" w:lineRule="auto"/>
      </w:pPr>
      <w:r>
        <w:rPr>
          <w:rFonts w:ascii="宋体" w:hAnsi="宋体" w:eastAsia="宋体"/>
          <w:b w:val="0"/>
          <w:sz w:val="22"/>
        </w:rPr>
        <w:t>式（1）以全天购电费用为优化指标。其中，</w:t>
      </w:r>
      <w:r>
        <w:rPr>
          <w:rFonts w:ascii="Cambria Math" w:hAnsi="Cambria Math" w:eastAsia="Cambria Math"/>
          <w:b w:val="0"/>
          <w:i/>
          <w:sz w:val="22"/>
        </w:rPr>
        <w:t>π</w:t>
      </w:r>
      <w:r>
        <w:rPr>
          <w:rFonts w:ascii="Cambria Math" w:hAnsi="Cambria Math" w:eastAsia="Cambria Math"/>
          <w:b w:val="0"/>
          <w:i/>
          <w:sz w:val="22"/>
          <w:vertAlign w:val="subscript"/>
        </w:rPr>
        <w:t>t</w:t>
      </w:r>
      <w:r>
        <w:rPr>
          <w:rFonts w:ascii="宋体" w:hAnsi="宋体" w:eastAsia="宋体"/>
          <w:b w:val="0"/>
          <w:sz w:val="22"/>
        </w:rPr>
        <w:t>为第</w:t>
      </w:r>
      <w:r>
        <w:rPr>
          <w:rFonts w:ascii="Cambria Math" w:hAnsi="Cambria Math" w:eastAsia="Cambria Math"/>
          <w:b w:val="0"/>
          <w:i/>
          <w:sz w:val="22"/>
        </w:rPr>
        <w:t>t</w:t>
      </w:r>
      <w:r>
        <w:rPr>
          <w:rFonts w:ascii="宋体" w:hAnsi="宋体" w:eastAsia="宋体"/>
          <w:b w:val="0"/>
          <w:sz w:val="22"/>
        </w:rPr>
        <w:t>时段电价，</w:t>
      </w:r>
      <w:r>
        <w:rPr>
          <w:rFonts w:ascii="Cambria Math" w:hAnsi="Cambria Math" w:eastAsia="Cambria Math"/>
          <w:b w:val="0"/>
          <w:i/>
          <w:sz w:val="22"/>
        </w:rPr>
        <w:t>x</w:t>
      </w:r>
      <w:r>
        <w:rPr>
          <w:rFonts w:ascii="Cambria Math" w:hAnsi="Cambria Math" w:eastAsia="Cambria Math"/>
          <w:b w:val="0"/>
          <w:i/>
          <w:sz w:val="22"/>
          <w:vertAlign w:val="subscript"/>
        </w:rPr>
        <w:t>t</w:t>
      </w:r>
      <w:r>
        <w:rPr>
          <w:rFonts w:ascii="宋体" w:hAnsi="宋体" w:eastAsia="宋体"/>
          <w:b w:val="0"/>
          <w:sz w:val="22"/>
        </w:rPr>
        <w:t>为其购电量；二者相乘得到时段购电费，求和后得到全天购电费。</w:t>
      </w:r>
    </w:p>
    <w:p>
      <w:pPr>
        <w:spacing w:after="120" w:line="324" w:lineRule="auto"/>
      </w:pPr>
      <w:r>
        <w:rPr>
          <w:rFonts w:ascii="宋体" w:hAnsi="宋体" w:eastAsia="宋体"/>
          <w:b w:val="0"/>
          <w:sz w:val="22"/>
        </w:rPr>
        <w:t>电能平衡约束保证外购电、光伏和放电能够满足负载与充电需求，其表达式如式（2）所示：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533"/>
        <w:gridCol w:w="4533"/>
      </w:tblGrid>
      <w:tr>
        <w:tc>
          <w:tcPr>
            <w:tcW w:type="dxa" w:w="7371"/>
          </w:tcPr>
          <w:p>
            <w:pPr>
              <w:spacing w:before="60" w:after="60"/>
              <w:jc w:val="center"/>
            </w:pPr>
            <m:oMathPara>
              <m:oMath>
                <m:sSub>
                  <m:e>
                    <m:r>
                      <m:t xml:space="preserve">x</m:t>
                    </m:r>
                  </m:e>
                  <m:sub>
                    <m:r>
                      <m:t xml:space="preserve">t</m:t>
                    </m:r>
                  </m:sub>
                </m:sSub>
                <m:r>
                  <m:t xml:space="preserve">+</m:t>
                </m:r>
                <m:sSub>
                  <m:e>
                    <m:r>
                      <m:t xml:space="preserve">G</m:t>
                    </m:r>
                  </m:e>
                  <m:sub>
                    <m:r>
                      <m:t xml:space="preserve">t</m:t>
                    </m:r>
                  </m:sub>
                </m:sSub>
                <m:r>
                  <m:t xml:space="preserve">Δt+</m:t>
                </m:r>
                <m:sSub>
                  <m:e>
                    <m:r>
                      <m:t xml:space="preserve">d</m:t>
                    </m:r>
                  </m:e>
                  <m:sub>
                    <m:r>
                      <m:t xml:space="preserve">t</m:t>
                    </m:r>
                  </m:sub>
                </m:sSub>
                <m:r>
                  <m:t xml:space="preserve">=</m:t>
                </m:r>
                <m:sSub>
                  <m:e>
                    <m:r>
                      <m:t xml:space="preserve">L</m:t>
                    </m:r>
                  </m:e>
                  <m:sub>
                    <m:r>
                      <m:t xml:space="preserve">t</m:t>
                    </m:r>
                  </m:sub>
                </m:sSub>
                <m:r>
                  <m:t xml:space="preserve">Δt+</m:t>
                </m:r>
                <m:sSub>
                  <m:e>
                    <m:r>
                      <m:t xml:space="preserve">c</m:t>
                    </m:r>
                  </m:e>
                  <m:sub>
                    <m:r>
                      <m:t xml:space="preserve">t</m:t>
                    </m:r>
                  </m:sub>
                </m:sSub>
                <m:r>
                  <m:t xml:space="preserve">+</m:t>
                </m:r>
                <m:sSub>
                  <m:e>
                    <m:r>
                      <m:t xml:space="preserve">s</m:t>
                    </m:r>
                  </m:e>
                  <m:sub>
                    <m:r>
                      <m:t xml:space="preserve">t</m:t>
                    </m:r>
                  </m:sub>
                </m:sSub>
              </m:oMath>
            </m:oMathPara>
          </w:p>
        </w:tc>
        <w:tc>
          <w:tcPr>
            <w:tcW w:type="dxa" w:w="1360"/>
          </w:tcPr>
          <w:p>
            <w:pPr>
              <w:jc w:val="right"/>
            </w:pPr>
            <w:r>
              <w:rPr>
                <w:rFonts w:ascii="Times New Roman" w:hAnsi="Times New Roman" w:eastAsia="Times New Roman"/>
                <w:b w:val="0"/>
                <w:sz w:val="22"/>
              </w:rPr>
              <w:t>(2)</w:t>
            </w:r>
          </w:p>
        </w:tc>
      </w:tr>
    </w:tbl>
    <w:p>
      <w:pPr>
        <w:spacing w:after="120" w:line="324" w:lineRule="auto"/>
      </w:pPr>
      <w:r>
        <w:rPr>
          <w:rFonts w:ascii="宋体" w:hAnsi="宋体" w:eastAsia="宋体"/>
          <w:b w:val="0"/>
          <w:sz w:val="22"/>
        </w:rPr>
        <w:t>式（2）通过逐时段能量闭合保证供电可靠性。其左侧表示可用电能，右侧表示负载、充电和弃光消耗的电能；弃光量满足</w:t>
      </w:r>
      <w:r>
        <w:rPr>
          <w:rFonts w:ascii="Cambria Math" w:hAnsi="Cambria Math" w:eastAsia="Cambria Math"/>
          <w:b w:val="0"/>
          <w:i/>
          <w:sz w:val="22"/>
        </w:rPr>
        <w:t>0</w:t>
      </w:r>
      <w:r>
        <w:rPr>
          <w:rFonts w:ascii="Cambria Math" w:hAnsi="Cambria Math" w:eastAsia="Cambria Math"/>
          <w:b w:val="0"/>
          <w:i/>
          <w:sz w:val="22"/>
        </w:rPr>
        <w:t>≤</w:t>
      </w:r>
      <w:r>
        <w:rPr>
          <w:rFonts w:ascii="Cambria Math" w:hAnsi="Cambria Math" w:eastAsia="Cambria Math"/>
          <w:b w:val="0"/>
          <w:i/>
          <w:sz w:val="22"/>
        </w:rPr>
        <w:t xml:space="preserve"> s</w:t>
      </w:r>
      <w:r>
        <w:rPr>
          <w:rFonts w:ascii="Cambria Math" w:hAnsi="Cambria Math" w:eastAsia="Cambria Math"/>
          <w:b w:val="0"/>
          <w:i/>
          <w:sz w:val="22"/>
          <w:vertAlign w:val="subscript"/>
        </w:rPr>
        <w:t>t</w:t>
      </w:r>
      <w:r>
        <w:rPr>
          <w:rFonts w:ascii="Cambria Math" w:hAnsi="Cambria Math" w:eastAsia="Cambria Math"/>
          <w:b w:val="0"/>
          <w:i/>
          <w:sz w:val="22"/>
        </w:rPr>
        <w:t>≤</w:t>
      </w:r>
      <w:r>
        <w:rPr>
          <w:rFonts w:ascii="Cambria Math" w:hAnsi="Cambria Math" w:eastAsia="Cambria Math"/>
          <w:b w:val="0"/>
          <w:i/>
          <w:sz w:val="22"/>
        </w:rPr>
        <w:t xml:space="preserve"> G</w:t>
      </w:r>
      <w:r>
        <w:rPr>
          <w:rFonts w:ascii="Cambria Math" w:hAnsi="Cambria Math" w:eastAsia="Cambria Math"/>
          <w:b w:val="0"/>
          <w:i/>
          <w:sz w:val="22"/>
          <w:vertAlign w:val="subscript"/>
        </w:rPr>
        <w:t>t</w:t>
      </w:r>
      <w:r>
        <w:rPr>
          <w:rFonts w:ascii="Cambria Math" w:hAnsi="Cambria Math" w:eastAsia="Cambria Math"/>
          <w:b w:val="0"/>
          <w:i/>
          <w:sz w:val="22"/>
        </w:rPr>
        <w:t>Δ</w:t>
      </w:r>
      <w:r>
        <w:rPr>
          <w:rFonts w:ascii="Cambria Math" w:hAnsi="Cambria Math" w:eastAsia="Cambria Math"/>
          <w:b w:val="0"/>
          <w:i/>
          <w:sz w:val="22"/>
        </w:rPr>
        <w:t xml:space="preserve"> t</w:t>
      </w:r>
      <w:r>
        <w:rPr>
          <w:rFonts w:ascii="宋体" w:hAnsi="宋体" w:eastAsia="宋体"/>
          <w:b w:val="0"/>
          <w:sz w:val="22"/>
        </w:rPr>
        <w:t>，用于处理光伏余电。</w:t>
      </w:r>
    </w:p>
    <w:p>
      <w:pPr>
        <w:spacing w:after="120" w:line="324" w:lineRule="auto"/>
      </w:pPr>
      <w:r>
        <w:rPr>
          <w:rFonts w:ascii="宋体" w:hAnsi="宋体" w:eastAsia="宋体"/>
          <w:b w:val="0"/>
          <w:sz w:val="22"/>
        </w:rPr>
        <w:t>储能荷电状态递推约束刻画能量转换关系，其表达式如式（3）所示：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533"/>
        <w:gridCol w:w="4533"/>
      </w:tblGrid>
      <w:tr>
        <w:tc>
          <w:tcPr>
            <w:tcW w:type="dxa" w:w="7371"/>
          </w:tcPr>
          <w:p>
            <w:pPr>
              <w:spacing w:before="60" w:after="60"/>
              <w:jc w:val="center"/>
            </w:pPr>
            <m:oMathPara>
              <m:oMath>
                <m:sSub>
                  <m:e>
                    <m:r>
                      <m:t xml:space="preserve">E</m:t>
                    </m:r>
                  </m:e>
                  <m:sub>
                    <m:r>
                      <m:t xml:space="preserve">t</m:t>
                    </m:r>
                  </m:sub>
                </m:sSub>
                <m:r>
                  <m:t xml:space="preserve">=</m:t>
                </m:r>
                <m:sSub>
                  <m:e>
                    <m:r>
                      <m:t xml:space="preserve">E</m:t>
                    </m:r>
                  </m:e>
                  <m:sub>
                    <m:r>
                      <m:t xml:space="preserve">t-1</m:t>
                    </m:r>
                  </m:sub>
                </m:sSub>
                <m:r>
                  <m:t xml:space="preserve">+</m:t>
                </m:r>
                <m:sSub>
                  <m:e>
                    <m:r>
                      <m:t xml:space="preserve">η</m:t>
                    </m:r>
                  </m:e>
                  <m:sub>
                    <m:r>
                      <m:t xml:space="preserve">c</m:t>
                    </m:r>
                  </m:sub>
                </m:sSub>
                <m:sSub>
                  <m:e>
                    <m:r>
                      <m:t xml:space="preserve">c</m:t>
                    </m:r>
                  </m:e>
                  <m:sub>
                    <m:r>
                      <m:t xml:space="preserve">t</m:t>
                    </m:r>
                  </m:sub>
                </m:sSub>
                <m:r>
                  <m:t xml:space="preserve">-</m:t>
                </m:r>
                <m:f>
                  <m:num>
                    <m:sSub>
                      <m:e>
                        <m:r>
                          <m:t xml:space="preserve">d</m:t>
                        </m:r>
                      </m:e>
                      <m:sub>
                        <m:r>
                          <m:t xml:space="preserve">t</m:t>
                        </m:r>
                      </m:sub>
                    </m:sSub>
                  </m:num>
                  <m:den>
                    <m:sSub>
                      <m:e>
                        <m:r>
                          <m:t xml:space="preserve">η</m:t>
                        </m:r>
                      </m:e>
                      <m:sub>
                        <m:r>
                          <m:t xml:space="preserve">d</m:t>
                        </m:r>
                      </m:sub>
                    </m:sSub>
                  </m:den>
                </m:f>
              </m:oMath>
            </m:oMathPara>
          </w:p>
        </w:tc>
        <w:tc>
          <w:tcPr>
            <w:tcW w:type="dxa" w:w="1360"/>
          </w:tcPr>
          <w:p>
            <w:pPr>
              <w:jc w:val="right"/>
            </w:pPr>
            <w:r>
              <w:rPr>
                <w:rFonts w:ascii="Times New Roman" w:hAnsi="Times New Roman" w:eastAsia="Times New Roman"/>
                <w:b w:val="0"/>
                <w:sz w:val="22"/>
              </w:rPr>
              <w:t>(3)</w:t>
            </w:r>
          </w:p>
        </w:tc>
      </w:tr>
    </w:tbl>
    <w:p>
      <w:pPr>
        <w:spacing w:after="120" w:line="324" w:lineRule="auto"/>
      </w:pPr>
      <w:r>
        <w:rPr>
          <w:rFonts w:ascii="宋体" w:hAnsi="宋体" w:eastAsia="宋体"/>
          <w:b w:val="0"/>
          <w:sz w:val="22"/>
        </w:rPr>
        <w:t>式（3）反映储能充放电过程中的效率损失。其中，</w:t>
      </w:r>
      <w:r>
        <w:rPr>
          <w:rFonts w:ascii="Cambria Math" w:hAnsi="Cambria Math" w:eastAsia="Cambria Math"/>
          <w:b w:val="0"/>
          <w:i/>
          <w:sz w:val="22"/>
        </w:rPr>
        <w:t>η</w:t>
      </w:r>
      <w:r>
        <w:rPr>
          <w:rFonts w:ascii="Cambria Math" w:hAnsi="Cambria Math" w:eastAsia="Cambria Math"/>
          <w:b w:val="0"/>
          <w:i/>
          <w:sz w:val="22"/>
          <w:vertAlign w:val="subscript"/>
        </w:rPr>
        <w:t>c</w:t>
      </w:r>
      <w:r>
        <w:rPr>
          <w:rFonts w:ascii="Cambria Math" w:hAnsi="Cambria Math" w:eastAsia="Cambria Math"/>
          <w:b w:val="0"/>
          <w:i/>
          <w:sz w:val="22"/>
        </w:rPr>
        <w:t>=</w:t>
      </w:r>
      <w:r>
        <w:rPr>
          <w:rFonts w:ascii="Cambria Math" w:hAnsi="Cambria Math" w:eastAsia="Cambria Math"/>
          <w:b w:val="0"/>
          <w:i/>
          <w:sz w:val="22"/>
        </w:rPr>
        <w:t>η</w:t>
      </w:r>
      <w:r>
        <w:rPr>
          <w:rFonts w:ascii="Cambria Math" w:hAnsi="Cambria Math" w:eastAsia="Cambria Math"/>
          <w:b w:val="0"/>
          <w:i/>
          <w:sz w:val="22"/>
          <w:vertAlign w:val="subscript"/>
        </w:rPr>
        <w:t>d</w:t>
      </w:r>
      <w:r>
        <w:rPr>
          <w:rFonts w:ascii="Cambria Math" w:hAnsi="Cambria Math" w:eastAsia="Cambria Math"/>
          <w:b w:val="0"/>
          <w:i/>
          <w:sz w:val="22"/>
        </w:rPr>
        <w:t>=0.9</w:t>
      </w:r>
      <w:r>
        <w:rPr>
          <w:rFonts w:ascii="宋体" w:hAnsi="宋体" w:eastAsia="宋体"/>
          <w:b w:val="0"/>
          <w:sz w:val="22"/>
        </w:rPr>
        <w:t>；充电时实际入储电量为</w:t>
      </w:r>
      <w:r>
        <w:rPr>
          <w:rFonts w:ascii="Cambria Math" w:hAnsi="Cambria Math" w:eastAsia="Cambria Math"/>
          <w:b w:val="0"/>
          <w:i/>
          <w:sz w:val="22"/>
        </w:rPr>
        <w:t>η</w:t>
      </w:r>
      <w:r>
        <w:rPr>
          <w:rFonts w:ascii="Cambria Math" w:hAnsi="Cambria Math" w:eastAsia="Cambria Math"/>
          <w:b w:val="0"/>
          <w:i/>
          <w:sz w:val="22"/>
          <w:vertAlign w:val="subscript"/>
        </w:rPr>
        <w:t>c</w:t>
      </w:r>
      <w:r>
        <w:rPr>
          <w:rFonts w:ascii="Cambria Math" w:hAnsi="Cambria Math" w:eastAsia="Cambria Math"/>
          <w:b w:val="0"/>
          <w:i/>
          <w:sz w:val="22"/>
        </w:rPr>
        <w:t>c</w:t>
      </w:r>
      <w:r>
        <w:rPr>
          <w:rFonts w:ascii="Cambria Math" w:hAnsi="Cambria Math" w:eastAsia="Cambria Math"/>
          <w:b w:val="0"/>
          <w:i/>
          <w:sz w:val="22"/>
          <w:vertAlign w:val="subscript"/>
        </w:rPr>
        <w:t>t</w:t>
      </w:r>
      <w:r>
        <w:rPr>
          <w:rFonts w:ascii="宋体" w:hAnsi="宋体" w:eastAsia="宋体"/>
          <w:b w:val="0"/>
          <w:sz w:val="22"/>
        </w:rPr>
        <w:t>，放电时电池内部消耗为</w:t>
      </w:r>
      <w:r>
        <w:rPr>
          <w:rFonts w:ascii="Cambria Math" w:hAnsi="Cambria Math" w:eastAsia="Cambria Math"/>
          <w:b w:val="0"/>
          <w:i/>
          <w:sz w:val="22"/>
        </w:rPr>
        <w:t>d</w:t>
      </w:r>
      <w:r>
        <w:rPr>
          <w:rFonts w:ascii="Cambria Math" w:hAnsi="Cambria Math" w:eastAsia="Cambria Math"/>
          <w:b w:val="0"/>
          <w:i/>
          <w:sz w:val="22"/>
          <w:vertAlign w:val="subscript"/>
        </w:rPr>
        <w:t>t</w:t>
      </w:r>
      <w:r>
        <w:rPr>
          <w:rFonts w:ascii="Cambria Math" w:hAnsi="Cambria Math" w:eastAsia="Cambria Math"/>
          <w:b w:val="0"/>
          <w:i/>
          <w:sz w:val="22"/>
        </w:rPr>
        <w:t>/</w:t>
      </w:r>
      <w:r>
        <w:rPr>
          <w:rFonts w:ascii="Cambria Math" w:hAnsi="Cambria Math" w:eastAsia="Cambria Math"/>
          <w:b w:val="0"/>
          <w:i/>
          <w:sz w:val="22"/>
        </w:rPr>
        <w:t>η</w:t>
      </w:r>
      <w:r>
        <w:rPr>
          <w:rFonts w:ascii="Cambria Math" w:hAnsi="Cambria Math" w:eastAsia="Cambria Math"/>
          <w:b w:val="0"/>
          <w:i/>
          <w:sz w:val="22"/>
          <w:vertAlign w:val="subscript"/>
        </w:rPr>
        <w:t>d</w:t>
      </w:r>
      <w:r>
        <w:rPr>
          <w:rFonts w:ascii="宋体" w:hAnsi="宋体" w:eastAsia="宋体"/>
          <w:b w:val="0"/>
          <w:sz w:val="22"/>
        </w:rPr>
        <w:t>，效率损失会通过购电量反映在总费用中。</w:t>
      </w:r>
    </w:p>
    <w:p>
      <w:pPr>
        <w:spacing w:after="120" w:line="324" w:lineRule="auto"/>
      </w:pPr>
      <w:r>
        <w:rPr>
          <w:rFonts w:ascii="宋体" w:hAnsi="宋体" w:eastAsia="宋体"/>
          <w:b w:val="0"/>
          <w:sz w:val="22"/>
        </w:rPr>
        <w:t>充放电功率与互斥约束避免同一时段同时充放电，其表达式如式（4）所示：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533"/>
        <w:gridCol w:w="4533"/>
      </w:tblGrid>
      <w:tr>
        <w:tc>
          <w:tcPr>
            <w:tcW w:type="dxa" w:w="7371"/>
          </w:tcPr>
          <w:p>
            <w:pPr>
              <w:spacing w:before="60" w:after="60"/>
              <w:jc w:val="center"/>
            </w:pPr>
            <m:oMathPara>
              <m:oMath>
                <m:r>
                  <m:t xml:space="preserve">0≤</m:t>
                </m:r>
                <m:sSub>
                  <m:e>
                    <m:r>
                      <m:t xml:space="preserve">c</m:t>
                    </m:r>
                  </m:e>
                  <m:sub>
                    <m:r>
                      <m:t xml:space="preserve">t</m:t>
                    </m:r>
                  </m:sub>
                </m:sSub>
                <m:r>
                  <m:t xml:space="preserve">≤</m:t>
                </m:r>
                <m:sSub>
                  <m:e>
                    <m:r>
                      <m:t xml:space="preserve">P</m:t>
                    </m:r>
                  </m:e>
                  <m:sub>
                    <m:r>
                      <m:t xml:space="preserve">max</m:t>
                    </m:r>
                  </m:sub>
                </m:sSub>
                <m:r>
                  <m:t xml:space="preserve">Δt</m:t>
                </m:r>
                <m:sSub>
                  <m:e>
                    <m:r>
                      <m:t xml:space="preserve">z</m:t>
                    </m:r>
                  </m:e>
                  <m:sub>
                    <m:r>
                      <m:t xml:space="preserve">t</m:t>
                    </m:r>
                  </m:sub>
                </m:sSub>
                <m:r>
                  <m:t xml:space="preserve">，</m:t>
                </m:r>
                <m:r>
                  <m:t xml:space="preserve">0≤</m:t>
                </m:r>
                <m:sSub>
                  <m:e>
                    <m:r>
                      <m:t xml:space="preserve">d</m:t>
                    </m:r>
                  </m:e>
                  <m:sub>
                    <m:r>
                      <m:t xml:space="preserve">t</m:t>
                    </m:r>
                  </m:sub>
                </m:sSub>
                <m:r>
                  <m:t xml:space="preserve">≤</m:t>
                </m:r>
                <m:sSub>
                  <m:e>
                    <m:r>
                      <m:t xml:space="preserve">P</m:t>
                    </m:r>
                  </m:e>
                  <m:sub>
                    <m:r>
                      <m:t xml:space="preserve">max</m:t>
                    </m:r>
                  </m:sub>
                </m:sSub>
                <m:r>
                  <m:t xml:space="preserve">Δt(1-</m:t>
                </m:r>
                <m:sSub>
                  <m:e>
                    <m:r>
                      <m:t xml:space="preserve">z</m:t>
                    </m:r>
                  </m:e>
                  <m:sub>
                    <m:r>
                      <m:t xml:space="preserve">t</m:t>
                    </m:r>
                  </m:sub>
                </m:sSub>
                <m:r>
                  <m:t xml:space="preserve">)</m:t>
                </m:r>
              </m:oMath>
            </m:oMathPara>
          </w:p>
        </w:tc>
        <w:tc>
          <w:tcPr>
            <w:tcW w:type="dxa" w:w="1360"/>
          </w:tcPr>
          <w:p>
            <w:pPr>
              <w:jc w:val="right"/>
            </w:pPr>
            <w:r>
              <w:rPr>
                <w:rFonts w:ascii="Times New Roman" w:hAnsi="Times New Roman" w:eastAsia="Times New Roman"/>
                <w:b w:val="0"/>
                <w:sz w:val="22"/>
              </w:rPr>
              <w:t>(4)</w:t>
            </w:r>
          </w:p>
        </w:tc>
      </w:tr>
    </w:tbl>
    <w:p>
      <w:pPr>
        <w:spacing w:after="120" w:line="324" w:lineRule="auto"/>
      </w:pPr>
      <w:r>
        <w:rPr>
          <w:rFonts w:ascii="宋体" w:hAnsi="宋体" w:eastAsia="宋体"/>
          <w:b w:val="0"/>
          <w:sz w:val="22"/>
        </w:rPr>
        <w:t>式（4）保证同一时段仅存在一种充放电状态。其中，</w:t>
      </w:r>
      <w:r>
        <w:rPr>
          <w:rFonts w:ascii="Cambria Math" w:hAnsi="Cambria Math" w:eastAsia="Cambria Math"/>
          <w:b w:val="0"/>
          <w:i/>
          <w:sz w:val="22"/>
        </w:rPr>
        <w:t>P</w:t>
      </w:r>
      <w:r>
        <w:rPr>
          <w:rFonts w:ascii="Cambria Math" w:hAnsi="Cambria Math" w:eastAsia="Cambria Math"/>
          <w:b w:val="0"/>
          <w:i/>
          <w:sz w:val="22"/>
          <w:vertAlign w:val="subscript"/>
        </w:rPr>
        <w:t>max</w:t>
      </w:r>
      <w:r>
        <w:rPr>
          <w:rFonts w:ascii="Cambria Math" w:hAnsi="Cambria Math" w:eastAsia="Cambria Math"/>
          <w:b w:val="0"/>
          <w:i/>
          <w:sz w:val="22"/>
        </w:rPr>
        <w:t>=5000</w:t>
      </w:r>
      <w:r>
        <w:rPr>
          <w:rFonts w:ascii="宋体" w:hAnsi="宋体" w:eastAsia="宋体"/>
          <w:b w:val="0"/>
          <w:sz w:val="22"/>
        </w:rPr>
        <w:t>kW，</w:t>
      </w:r>
      <w:r>
        <w:rPr>
          <w:rFonts w:ascii="Cambria Math" w:hAnsi="Cambria Math" w:eastAsia="Cambria Math"/>
          <w:b w:val="0"/>
          <w:i/>
          <w:sz w:val="22"/>
        </w:rPr>
        <w:t>P</w:t>
      </w:r>
      <w:r>
        <w:rPr>
          <w:rFonts w:ascii="Cambria Math" w:hAnsi="Cambria Math" w:eastAsia="Cambria Math"/>
          <w:b w:val="0"/>
          <w:i/>
          <w:sz w:val="22"/>
          <w:vertAlign w:val="subscript"/>
        </w:rPr>
        <w:t>max</w:t>
      </w:r>
      <w:r>
        <w:rPr>
          <w:rFonts w:ascii="Cambria Math" w:hAnsi="Cambria Math" w:eastAsia="Cambria Math"/>
          <w:b w:val="0"/>
          <w:i/>
          <w:sz w:val="22"/>
        </w:rPr>
        <w:t>Δ</w:t>
      </w:r>
      <w:r>
        <w:rPr>
          <w:rFonts w:ascii="Cambria Math" w:hAnsi="Cambria Math" w:eastAsia="Cambria Math"/>
          <w:b w:val="0"/>
          <w:i/>
          <w:sz w:val="22"/>
        </w:rPr>
        <w:t xml:space="preserve"> t=833.333333</w:t>
      </w:r>
      <w:r>
        <w:rPr>
          <w:rFonts w:ascii="宋体" w:hAnsi="宋体" w:eastAsia="宋体"/>
          <w:b w:val="0"/>
          <w:sz w:val="22"/>
        </w:rPr>
        <w:t>kWh；当</w:t>
      </w:r>
      <w:r>
        <w:rPr>
          <w:rFonts w:ascii="Cambria Math" w:hAnsi="Cambria Math" w:eastAsia="Cambria Math"/>
          <w:b w:val="0"/>
          <w:i/>
          <w:sz w:val="22"/>
        </w:rPr>
        <w:t>z</w:t>
      </w:r>
      <w:r>
        <w:rPr>
          <w:rFonts w:ascii="Cambria Math" w:hAnsi="Cambria Math" w:eastAsia="Cambria Math"/>
          <w:b w:val="0"/>
          <w:i/>
          <w:sz w:val="22"/>
          <w:vertAlign w:val="subscript"/>
        </w:rPr>
        <w:t>t</w:t>
      </w:r>
      <w:r>
        <w:rPr>
          <w:rFonts w:ascii="Cambria Math" w:hAnsi="Cambria Math" w:eastAsia="Cambria Math"/>
          <w:b w:val="0"/>
          <w:i/>
          <w:sz w:val="22"/>
        </w:rPr>
        <w:t>=1</w:t>
      </w:r>
      <w:r>
        <w:rPr>
          <w:rFonts w:ascii="宋体" w:hAnsi="宋体" w:eastAsia="宋体"/>
          <w:b w:val="0"/>
          <w:sz w:val="22"/>
        </w:rPr>
        <w:t>时仅允许充电，当</w:t>
      </w:r>
      <w:r>
        <w:rPr>
          <w:rFonts w:ascii="Cambria Math" w:hAnsi="Cambria Math" w:eastAsia="Cambria Math"/>
          <w:b w:val="0"/>
          <w:i/>
          <w:sz w:val="22"/>
        </w:rPr>
        <w:t>z</w:t>
      </w:r>
      <w:r>
        <w:rPr>
          <w:rFonts w:ascii="Cambria Math" w:hAnsi="Cambria Math" w:eastAsia="Cambria Math"/>
          <w:b w:val="0"/>
          <w:i/>
          <w:sz w:val="22"/>
          <w:vertAlign w:val="subscript"/>
        </w:rPr>
        <w:t>t</w:t>
      </w:r>
      <w:r>
        <w:rPr>
          <w:rFonts w:ascii="Cambria Math" w:hAnsi="Cambria Math" w:eastAsia="Cambria Math"/>
          <w:b w:val="0"/>
          <w:i/>
          <w:sz w:val="22"/>
        </w:rPr>
        <w:t>=0</w:t>
      </w:r>
      <w:r>
        <w:rPr>
          <w:rFonts w:ascii="宋体" w:hAnsi="宋体" w:eastAsia="宋体"/>
          <w:b w:val="0"/>
          <w:sz w:val="22"/>
        </w:rPr>
        <w:t>时仅允许放电或空闲。</w:t>
      </w:r>
    </w:p>
    <w:p>
      <w:pPr>
        <w:spacing w:after="120" w:line="324" w:lineRule="auto"/>
      </w:pPr>
      <w:r>
        <w:rPr>
          <w:rFonts w:ascii="宋体" w:hAnsi="宋体" w:eastAsia="宋体"/>
          <w:b w:val="0"/>
          <w:sz w:val="22"/>
        </w:rPr>
        <w:t>储能安全和日循环约束保证设备安全及计划可重复执行，其表达式如式（5）所示：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533"/>
        <w:gridCol w:w="4533"/>
      </w:tblGrid>
      <w:tr>
        <w:tc>
          <w:tcPr>
            <w:tcW w:type="dxa" w:w="7371"/>
          </w:tcPr>
          <w:p>
            <w:pPr>
              <w:spacing w:before="60" w:after="60"/>
              <w:jc w:val="center"/>
            </w:pPr>
            <m:oMathPara>
              <m:oMath>
                <m:r>
                  <m:t xml:space="preserve">1200≤</m:t>
                </m:r>
                <m:sSub>
                  <m:e>
                    <m:r>
                      <m:t xml:space="preserve">E</m:t>
                    </m:r>
                  </m:e>
                  <m:sub>
                    <m:r>
                      <m:t xml:space="preserve">t</m:t>
                    </m:r>
                  </m:sub>
                </m:sSub>
                <m:r>
                  <m:t xml:space="preserve">≤10800，</m:t>
                </m:r>
                <m:sSub>
                  <m:e>
                    <m:r>
                      <m:t xml:space="preserve">E</m:t>
                    </m:r>
                  </m:e>
                  <m:sub>
                    <m:r>
                      <m:t xml:space="preserve">0</m:t>
                    </m:r>
                  </m:sub>
                </m:sSub>
                <m:r>
                  <m:t xml:space="preserve">=</m:t>
                </m:r>
                <m:sSub>
                  <m:e>
                    <m:r>
                      <m:t xml:space="preserve">E</m:t>
                    </m:r>
                  </m:e>
                  <m:sub>
                    <m:r>
                      <m:t xml:space="preserve">144</m:t>
                    </m:r>
                  </m:sub>
                </m:sSub>
                <m:r>
                  <m:t xml:space="preserve">=6000</m:t>
                </m:r>
              </m:oMath>
            </m:oMathPara>
          </w:p>
        </w:tc>
        <w:tc>
          <w:tcPr>
            <w:tcW w:type="dxa" w:w="1360"/>
          </w:tcPr>
          <w:p>
            <w:pPr>
              <w:jc w:val="right"/>
            </w:pPr>
            <w:r>
              <w:rPr>
                <w:rFonts w:ascii="Times New Roman" w:hAnsi="Times New Roman" w:eastAsia="Times New Roman"/>
                <w:b w:val="0"/>
                <w:sz w:val="22"/>
              </w:rPr>
              <w:t>(5)</w:t>
            </w:r>
          </w:p>
        </w:tc>
      </w:tr>
    </w:tbl>
    <w:p>
      <w:pPr>
        <w:spacing w:after="120" w:line="324" w:lineRule="auto"/>
      </w:pPr>
      <w:r>
        <w:rPr>
          <w:rFonts w:ascii="宋体" w:hAnsi="宋体" w:eastAsia="宋体"/>
          <w:b w:val="0"/>
          <w:sz w:val="22"/>
        </w:rPr>
        <w:t>式（5）同时实现储能安全保护和计划日循环。该式限定储电量安全区间，并避免模型通过透支次日电量降低当天费用。综上，式（1）至式（5）连同</w:t>
      </w:r>
      <w:r>
        <w:rPr>
          <w:rFonts w:ascii="Cambria Math" w:hAnsi="Cambria Math" w:eastAsia="Cambria Math"/>
          <w:b w:val="0"/>
          <w:i/>
          <w:sz w:val="22"/>
        </w:rPr>
        <w:t>x</w:t>
      </w:r>
      <w:r>
        <w:rPr>
          <w:rFonts w:ascii="Cambria Math" w:hAnsi="Cambria Math" w:eastAsia="Cambria Math"/>
          <w:b w:val="0"/>
          <w:i/>
          <w:sz w:val="22"/>
          <w:vertAlign w:val="subscript"/>
        </w:rPr>
        <w:t>t</w:t>
      </w:r>
      <w:r>
        <w:rPr>
          <w:rFonts w:ascii="Cambria Math" w:hAnsi="Cambria Math" w:eastAsia="Cambria Math"/>
          <w:b w:val="0"/>
          <w:i/>
          <w:sz w:val="22"/>
        </w:rPr>
        <w:t>,c</w:t>
      </w:r>
      <w:r>
        <w:rPr>
          <w:rFonts w:ascii="Cambria Math" w:hAnsi="Cambria Math" w:eastAsia="Cambria Math"/>
          <w:b w:val="0"/>
          <w:i/>
          <w:sz w:val="22"/>
          <w:vertAlign w:val="subscript"/>
        </w:rPr>
        <w:t>t</w:t>
      </w:r>
      <w:r>
        <w:rPr>
          <w:rFonts w:ascii="Cambria Math" w:hAnsi="Cambria Math" w:eastAsia="Cambria Math"/>
          <w:b w:val="0"/>
          <w:i/>
          <w:sz w:val="22"/>
        </w:rPr>
        <w:t>,d</w:t>
      </w:r>
      <w:r>
        <w:rPr>
          <w:rFonts w:ascii="Cambria Math" w:hAnsi="Cambria Math" w:eastAsia="Cambria Math"/>
          <w:b w:val="0"/>
          <w:i/>
          <w:sz w:val="22"/>
          <w:vertAlign w:val="subscript"/>
        </w:rPr>
        <w:t>t</w:t>
      </w:r>
      <w:r>
        <w:rPr>
          <w:rFonts w:ascii="Cambria Math" w:hAnsi="Cambria Math" w:eastAsia="Cambria Math"/>
          <w:b w:val="0"/>
          <w:i/>
          <w:sz w:val="22"/>
        </w:rPr>
        <w:t>,s</w:t>
      </w:r>
      <w:r>
        <w:rPr>
          <w:rFonts w:ascii="Cambria Math" w:hAnsi="Cambria Math" w:eastAsia="Cambria Math"/>
          <w:b w:val="0"/>
          <w:i/>
          <w:sz w:val="22"/>
          <w:vertAlign w:val="subscript"/>
        </w:rPr>
        <w:t>t</w:t>
      </w:r>
      <w:r>
        <w:rPr>
          <w:rFonts w:ascii="Cambria Math" w:hAnsi="Cambria Math" w:eastAsia="Cambria Math"/>
          <w:b w:val="0"/>
          <w:i/>
          <w:sz w:val="22"/>
        </w:rPr>
        <w:t>≥</w:t>
      </w:r>
      <w:r>
        <w:rPr>
          <w:rFonts w:ascii="Cambria Math" w:hAnsi="Cambria Math" w:eastAsia="Cambria Math"/>
          <w:b w:val="0"/>
          <w:i/>
          <w:sz w:val="22"/>
        </w:rPr>
        <w:t>0</w:t>
      </w:r>
      <w:r>
        <w:rPr>
          <w:rFonts w:ascii="宋体" w:hAnsi="宋体" w:eastAsia="宋体"/>
          <w:b w:val="0"/>
          <w:sz w:val="22"/>
        </w:rPr>
        <w:t>、</w:t>
      </w:r>
      <w:r>
        <w:rPr>
          <w:rFonts w:ascii="Cambria Math" w:hAnsi="Cambria Math" w:eastAsia="Cambria Math"/>
          <w:b w:val="0"/>
          <w:i/>
          <w:sz w:val="22"/>
        </w:rPr>
        <w:t>z</w:t>
      </w:r>
      <w:r>
        <w:rPr>
          <w:rFonts w:ascii="Cambria Math" w:hAnsi="Cambria Math" w:eastAsia="Cambria Math"/>
          <w:b w:val="0"/>
          <w:i/>
          <w:sz w:val="22"/>
          <w:vertAlign w:val="subscript"/>
        </w:rPr>
        <w:t>t</w:t>
      </w:r>
      <w:r>
        <w:rPr>
          <w:rFonts w:ascii="Cambria Math" w:hAnsi="Cambria Math" w:eastAsia="Cambria Math"/>
          <w:b w:val="0"/>
          <w:i/>
          <w:sz w:val="22"/>
        </w:rPr>
        <w:t>∈</w:t>
      </w:r>
      <w:r>
        <w:rPr>
          <w:rFonts w:ascii="Cambria Math" w:hAnsi="Cambria Math" w:eastAsia="Cambria Math"/>
          <w:b w:val="0"/>
          <w:i/>
          <w:sz w:val="22"/>
        </w:rPr>
      </w:r>
      <w:r>
        <w:rPr>
          <w:rFonts w:ascii="Cambria Math" w:hAnsi="Cambria Math" w:eastAsia="Cambria Math"/>
          <w:b w:val="0"/>
          <w:i/>
          <w:sz w:val="22"/>
        </w:rPr>
        <w:t>{0,1</w:t>
      </w:r>
      <w:r>
        <w:rPr>
          <w:rFonts w:ascii="Cambria Math" w:hAnsi="Cambria Math" w:eastAsia="Cambria Math"/>
          <w:b w:val="0"/>
          <w:i/>
          <w:sz w:val="22"/>
        </w:rPr>
      </w:r>
      <w:r>
        <w:rPr>
          <w:rFonts w:ascii="Cambria Math" w:hAnsi="Cambria Math" w:eastAsia="Cambria Math"/>
          <w:b w:val="0"/>
          <w:i/>
          <w:sz w:val="22"/>
        </w:rPr>
        <w:t>}</w:t>
      </w:r>
      <w:r>
        <w:rPr>
          <w:rFonts w:ascii="宋体" w:hAnsi="宋体" w:eastAsia="宋体"/>
          <w:b w:val="0"/>
          <w:sz w:val="22"/>
        </w:rPr>
        <w:t>构成完整MILP模型。</w:t>
      </w:r>
    </w:p>
    <w:p>
      <w:pPr>
        <w:spacing w:before="200" w:after="120"/>
      </w:pPr>
      <w:r>
        <w:rPr>
          <w:rFonts w:ascii="黑体" w:hAnsi="黑体" w:eastAsia="黑体"/>
          <w:b/>
          <w:sz w:val="30"/>
        </w:rPr>
        <w:t>5.3 模型求解</w:t>
      </w:r>
    </w:p>
    <w:p>
      <w:pPr>
        <w:spacing w:after="120" w:line="324" w:lineRule="auto"/>
      </w:pPr>
      <w:r>
        <w:rPr>
          <w:rFonts w:ascii="宋体" w:hAnsi="宋体" w:eastAsia="宋体"/>
          <w:b w:val="0"/>
          <w:sz w:val="22"/>
        </w:rPr>
        <w:t>模型采用</w:t>
      </w:r>
      <w:r>
        <w:rPr>
          <w:rFonts w:ascii="Consolas" w:hAnsi="Consolas" w:eastAsia="Consolas"/>
          <w:b w:val="0"/>
          <w:sz w:val="20"/>
        </w:rPr>
        <w:t>SciPy MILP/HiGHS</w:t>
      </w:r>
      <w:r>
        <w:rPr>
          <w:rFonts w:ascii="宋体" w:hAnsi="宋体" w:eastAsia="宋体"/>
          <w:b w:val="0"/>
          <w:sz w:val="22"/>
        </w:rPr>
        <w:t>分支定界算法求解，求解器状态为“Optimal”，所得计划购电策略如表1所示。</w:t>
      </w:r>
    </w:p>
    <w:p>
      <w:pPr>
        <w:spacing w:before="120" w:after="60"/>
        <w:jc w:val="center"/>
      </w:pPr>
      <w:r>
        <w:rPr>
          <w:rFonts w:ascii="宋体" w:hAnsi="宋体" w:eastAsia="宋体"/>
          <w:b/>
          <w:sz w:val="22"/>
        </w:rPr>
        <w:t>表1 指定时段购电量及全天购电结果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266"/>
        <w:gridCol w:w="2266"/>
        <w:gridCol w:w="2266"/>
        <w:gridCol w:w="2266"/>
      </w:tblGrid>
      <w:tr>
        <w:tc>
          <w:tcPr>
            <w:tcW w:type="dxa" w:w="2266"/>
            <w:vAlign w:val="center"/>
            <w:shd w:fill="D9EAF7"/>
          </w:tcPr>
          <w:p>
            <w:pPr>
              <w:jc w:val="center"/>
            </w:pPr>
            <w:r>
              <w:rPr>
                <w:rFonts w:ascii="宋体" w:hAnsi="宋体" w:eastAsia="宋体"/>
                <w:b/>
                <w:sz w:val="17"/>
              </w:rPr>
              <w:t>时段</w:t>
            </w:r>
          </w:p>
        </w:tc>
        <w:tc>
          <w:tcPr>
            <w:tcW w:type="dxa" w:w="2266"/>
            <w:vAlign w:val="center"/>
            <w:shd w:fill="D9EAF7"/>
          </w:tcPr>
          <w:p>
            <w:pPr>
              <w:jc w:val="center"/>
            </w:pPr>
            <w:r>
              <w:rPr>
                <w:rFonts w:ascii="宋体" w:hAnsi="宋体" w:eastAsia="宋体"/>
                <w:b/>
                <w:sz w:val="17"/>
              </w:rPr>
              <w:t>购电量(kWh)</w:t>
            </w:r>
          </w:p>
        </w:tc>
        <w:tc>
          <w:tcPr>
            <w:tcW w:type="dxa" w:w="2266"/>
            <w:vAlign w:val="center"/>
            <w:shd w:fill="D9EAF7"/>
          </w:tcPr>
          <w:p>
            <w:pPr>
              <w:jc w:val="center"/>
            </w:pPr>
            <w:r>
              <w:rPr>
                <w:rFonts w:ascii="宋体" w:hAnsi="宋体" w:eastAsia="宋体"/>
                <w:b/>
                <w:sz w:val="17"/>
              </w:rPr>
              <w:t>电价(元/kWh)</w:t>
            </w:r>
          </w:p>
        </w:tc>
        <w:tc>
          <w:tcPr>
            <w:tcW w:type="dxa" w:w="2266"/>
            <w:vAlign w:val="center"/>
            <w:shd w:fill="D9EAF7"/>
          </w:tcPr>
          <w:p>
            <w:pPr>
              <w:jc w:val="center"/>
            </w:pPr>
            <w:r>
              <w:rPr>
                <w:rFonts w:ascii="宋体" w:hAnsi="宋体" w:eastAsia="宋体"/>
                <w:b/>
                <w:sz w:val="17"/>
              </w:rPr>
              <w:t>购电费(元)</w:t>
            </w:r>
          </w:p>
        </w:tc>
      </w:tr>
      <w:tr>
        <w:tc>
          <w:tcPr>
            <w:tcW w:type="dxa" w:w="2266"/>
            <w:vAlign w:val="center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17"/>
              </w:rPr>
              <w:t>10:00-10:10</w:t>
            </w:r>
          </w:p>
        </w:tc>
        <w:tc>
          <w:tcPr>
            <w:tcW w:type="dxa" w:w="2266"/>
            <w:vAlign w:val="center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17"/>
              </w:rPr>
              <w:t>0.0</w:t>
            </w:r>
          </w:p>
        </w:tc>
        <w:tc>
          <w:tcPr>
            <w:tcW w:type="dxa" w:w="2266"/>
            <w:vAlign w:val="center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17"/>
              </w:rPr>
              <w:t>0.9919</w:t>
            </w:r>
          </w:p>
        </w:tc>
        <w:tc>
          <w:tcPr>
            <w:tcW w:type="dxa" w:w="2266"/>
            <w:vAlign w:val="center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17"/>
              </w:rPr>
              <w:t>0.0</w:t>
            </w:r>
          </w:p>
        </w:tc>
      </w:tr>
      <w:tr>
        <w:tc>
          <w:tcPr>
            <w:tcW w:type="dxa" w:w="2266"/>
            <w:vAlign w:val="center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17"/>
              </w:rPr>
              <w:t>12:00-12:10</w:t>
            </w:r>
          </w:p>
        </w:tc>
        <w:tc>
          <w:tcPr>
            <w:tcW w:type="dxa" w:w="2266"/>
            <w:vAlign w:val="center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17"/>
              </w:rPr>
              <w:t>480.4124499999999</w:t>
            </w:r>
          </w:p>
        </w:tc>
        <w:tc>
          <w:tcPr>
            <w:tcW w:type="dxa" w:w="2266"/>
            <w:vAlign w:val="center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17"/>
              </w:rPr>
              <w:t>0.4411</w:t>
            </w:r>
          </w:p>
        </w:tc>
        <w:tc>
          <w:tcPr>
            <w:tcW w:type="dxa" w:w="2266"/>
            <w:vAlign w:val="center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17"/>
              </w:rPr>
              <w:t>211.90993169499995</w:t>
            </w:r>
          </w:p>
        </w:tc>
      </w:tr>
      <w:tr>
        <w:tc>
          <w:tcPr>
            <w:tcW w:type="dxa" w:w="2266"/>
            <w:vAlign w:val="center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17"/>
              </w:rPr>
              <w:t>14:00-14:10</w:t>
            </w:r>
          </w:p>
        </w:tc>
        <w:tc>
          <w:tcPr>
            <w:tcW w:type="dxa" w:w="2266"/>
            <w:vAlign w:val="center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17"/>
              </w:rPr>
              <w:t>0.0</w:t>
            </w:r>
          </w:p>
        </w:tc>
        <w:tc>
          <w:tcPr>
            <w:tcW w:type="dxa" w:w="2266"/>
            <w:vAlign w:val="center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17"/>
              </w:rPr>
              <w:t>1.0002</w:t>
            </w:r>
          </w:p>
        </w:tc>
        <w:tc>
          <w:tcPr>
            <w:tcW w:type="dxa" w:w="2266"/>
            <w:vAlign w:val="center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17"/>
              </w:rPr>
              <w:t>0.0</w:t>
            </w:r>
          </w:p>
        </w:tc>
      </w:tr>
      <w:tr>
        <w:tc>
          <w:tcPr>
            <w:tcW w:type="dxa" w:w="2266"/>
            <w:vAlign w:val="center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17"/>
              </w:rPr>
              <w:t>16:00-16:10</w:t>
            </w:r>
          </w:p>
        </w:tc>
        <w:tc>
          <w:tcPr>
            <w:tcW w:type="dxa" w:w="2266"/>
            <w:vAlign w:val="center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17"/>
              </w:rPr>
              <w:t>445.4316500000001</w:t>
            </w:r>
          </w:p>
        </w:tc>
        <w:tc>
          <w:tcPr>
            <w:tcW w:type="dxa" w:w="2266"/>
            <w:vAlign w:val="center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17"/>
              </w:rPr>
              <w:t>0.8271</w:t>
            </w:r>
          </w:p>
        </w:tc>
        <w:tc>
          <w:tcPr>
            <w:tcW w:type="dxa" w:w="2266"/>
            <w:vAlign w:val="center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17"/>
              </w:rPr>
              <w:t>368.41651771500005</w:t>
            </w:r>
          </w:p>
        </w:tc>
      </w:tr>
      <w:tr>
        <w:tc>
          <w:tcPr>
            <w:tcW w:type="dxa" w:w="2266"/>
            <w:vAlign w:val="center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17"/>
              </w:rPr>
              <w:t>18:00-18:10</w:t>
            </w:r>
          </w:p>
        </w:tc>
        <w:tc>
          <w:tcPr>
            <w:tcW w:type="dxa" w:w="2266"/>
            <w:vAlign w:val="center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17"/>
              </w:rPr>
              <w:t>531.8940499999999</w:t>
            </w:r>
          </w:p>
        </w:tc>
        <w:tc>
          <w:tcPr>
            <w:tcW w:type="dxa" w:w="2266"/>
            <w:vAlign w:val="center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17"/>
              </w:rPr>
              <w:t>1.2561</w:t>
            </w:r>
          </w:p>
        </w:tc>
        <w:tc>
          <w:tcPr>
            <w:tcW w:type="dxa" w:w="2266"/>
            <w:vAlign w:val="center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17"/>
              </w:rPr>
              <w:t>668.1121162049999</w:t>
            </w:r>
          </w:p>
        </w:tc>
      </w:tr>
      <w:tr>
        <w:tc>
          <w:tcPr>
            <w:tcW w:type="dxa" w:w="2266"/>
            <w:vAlign w:val="center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17"/>
              </w:rPr>
              <w:t>20:00-20:10</w:t>
            </w:r>
          </w:p>
        </w:tc>
        <w:tc>
          <w:tcPr>
            <w:tcW w:type="dxa" w:w="2266"/>
            <w:vAlign w:val="center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17"/>
              </w:rPr>
              <w:t>0.0</w:t>
            </w:r>
          </w:p>
        </w:tc>
        <w:tc>
          <w:tcPr>
            <w:tcW w:type="dxa" w:w="2266"/>
            <w:vAlign w:val="center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17"/>
              </w:rPr>
              <w:t>1.3513</w:t>
            </w:r>
          </w:p>
        </w:tc>
        <w:tc>
          <w:tcPr>
            <w:tcW w:type="dxa" w:w="2266"/>
            <w:vAlign w:val="center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17"/>
              </w:rPr>
              <w:t>0.0</w:t>
            </w:r>
          </w:p>
        </w:tc>
      </w:tr>
      <w:tr>
        <w:tc>
          <w:tcPr>
            <w:tcW w:type="dxa" w:w="2266"/>
            <w:vAlign w:val="center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17"/>
              </w:rPr>
              <w:t>全天</w:t>
            </w:r>
          </w:p>
        </w:tc>
        <w:tc>
          <w:tcPr>
            <w:tcW w:type="dxa" w:w="2266"/>
            <w:vAlign w:val="center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17"/>
              </w:rPr>
              <w:t>59482.69899835391</w:t>
            </w:r>
          </w:p>
        </w:tc>
        <w:tc>
          <w:tcPr>
            <w:tcW w:type="dxa" w:w="2266"/>
            <w:vAlign w:val="center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17"/>
              </w:rPr>
            </w:r>
          </w:p>
        </w:tc>
        <w:tc>
          <w:tcPr>
            <w:tcW w:type="dxa" w:w="2266"/>
            <w:vAlign w:val="center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17"/>
              </w:rPr>
              <w:t>35126.948589289634</w:t>
            </w:r>
          </w:p>
        </w:tc>
      </w:tr>
    </w:tbl>
    <w:p>
      <w:pPr>
        <w:spacing w:after="120" w:line="324" w:lineRule="auto"/>
      </w:pPr>
      <w:r>
        <w:rPr>
          <w:rFonts w:ascii="宋体" w:hAnsi="宋体" w:eastAsia="宋体"/>
          <w:b w:val="0"/>
          <w:sz w:val="22"/>
        </w:rPr>
        <w:t>表1表明优化方案能够结合电价与净负荷选择购电时段。优化全天购电量为59482.69899835391kWh，全天购电费为35126.948589289634元；储能不动作时基准购电量为61789.9354kWh，购电费为48052.04659084666元，分别节约2307.2364016460924kWh和12925.098001557024元。</w:t>
      </w:r>
    </w:p>
    <w:p>
      <w:pPr>
        <w:spacing w:before="120" w:after="60"/>
        <w:jc w:val="center"/>
      </w:pPr>
      <w:r>
        <w:rPr>
          <w:rFonts w:ascii="宋体" w:hAnsi="宋体" w:eastAsia="宋体"/>
          <w:b/>
          <w:sz w:val="22"/>
        </w:rPr>
        <w:t>表2 储能设备指定时段充放电量及首末储电量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022"/>
        <w:gridCol w:w="3022"/>
        <w:gridCol w:w="3022"/>
      </w:tblGrid>
      <w:tr>
        <w:tc>
          <w:tcPr>
            <w:tcW w:type="dxa" w:w="3022"/>
            <w:vAlign w:val="center"/>
            <w:shd w:fill="D9EAF7"/>
          </w:tcPr>
          <w:p>
            <w:pPr>
              <w:jc w:val="center"/>
            </w:pPr>
            <w:r>
              <w:rPr>
                <w:rFonts w:ascii="宋体" w:hAnsi="宋体" w:eastAsia="宋体"/>
                <w:b/>
                <w:sz w:val="17"/>
              </w:rPr>
              <w:t>时段</w:t>
            </w:r>
          </w:p>
        </w:tc>
        <w:tc>
          <w:tcPr>
            <w:tcW w:type="dxa" w:w="3022"/>
            <w:vAlign w:val="center"/>
            <w:shd w:fill="D9EAF7"/>
          </w:tcPr>
          <w:p>
            <w:pPr>
              <w:jc w:val="center"/>
            </w:pPr>
            <w:r>
              <w:rPr>
                <w:rFonts w:ascii="宋体" w:hAnsi="宋体" w:eastAsia="宋体"/>
                <w:b/>
                <w:sz w:val="17"/>
              </w:rPr>
              <w:t>充电量(kWh)</w:t>
            </w:r>
          </w:p>
        </w:tc>
        <w:tc>
          <w:tcPr>
            <w:tcW w:type="dxa" w:w="3022"/>
            <w:vAlign w:val="center"/>
            <w:shd w:fill="D9EAF7"/>
          </w:tcPr>
          <w:p>
            <w:pPr>
              <w:jc w:val="center"/>
            </w:pPr>
            <w:r>
              <w:rPr>
                <w:rFonts w:ascii="宋体" w:hAnsi="宋体" w:eastAsia="宋体"/>
                <w:b/>
                <w:sz w:val="17"/>
              </w:rPr>
              <w:t>放电量(kWh)</w:t>
            </w:r>
          </w:p>
        </w:tc>
      </w:tr>
      <w:tr>
        <w:tc>
          <w:tcPr>
            <w:tcW w:type="dxa" w:w="3022"/>
            <w:vAlign w:val="center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17"/>
              </w:rPr>
              <w:t>0:00-4:00</w:t>
            </w:r>
          </w:p>
        </w:tc>
        <w:tc>
          <w:tcPr>
            <w:tcW w:type="dxa" w:w="3022"/>
            <w:vAlign w:val="center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17"/>
              </w:rPr>
              <w:t>4499.999999999999</w:t>
            </w:r>
          </w:p>
        </w:tc>
        <w:tc>
          <w:tcPr>
            <w:tcW w:type="dxa" w:w="3022"/>
            <w:vAlign w:val="center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17"/>
              </w:rPr>
              <w:t>0.0</w:t>
            </w:r>
          </w:p>
        </w:tc>
      </w:tr>
      <w:tr>
        <w:tc>
          <w:tcPr>
            <w:tcW w:type="dxa" w:w="3022"/>
            <w:vAlign w:val="center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17"/>
              </w:rPr>
              <w:t>4:00-8:00</w:t>
            </w:r>
          </w:p>
        </w:tc>
        <w:tc>
          <w:tcPr>
            <w:tcW w:type="dxa" w:w="3022"/>
            <w:vAlign w:val="center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17"/>
              </w:rPr>
              <w:t>833.3333333333333</w:t>
            </w:r>
          </w:p>
        </w:tc>
        <w:tc>
          <w:tcPr>
            <w:tcW w:type="dxa" w:w="3022"/>
            <w:vAlign w:val="center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17"/>
              </w:rPr>
              <w:t>6365.8412</w:t>
            </w:r>
          </w:p>
        </w:tc>
      </w:tr>
      <w:tr>
        <w:tc>
          <w:tcPr>
            <w:tcW w:type="dxa" w:w="3022"/>
            <w:vAlign w:val="center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17"/>
              </w:rPr>
              <w:t>8:00-12:00</w:t>
            </w:r>
          </w:p>
        </w:tc>
        <w:tc>
          <w:tcPr>
            <w:tcW w:type="dxa" w:w="3022"/>
            <w:vAlign w:val="center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17"/>
              </w:rPr>
              <w:t>4787.964288065848</w:t>
            </w:r>
          </w:p>
        </w:tc>
        <w:tc>
          <w:tcPr>
            <w:tcW w:type="dxa" w:w="3022"/>
            <w:vAlign w:val="center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17"/>
              </w:rPr>
              <w:t>1702.9969833333334</w:t>
            </w:r>
          </w:p>
        </w:tc>
      </w:tr>
      <w:tr>
        <w:tc>
          <w:tcPr>
            <w:tcW w:type="dxa" w:w="3022"/>
            <w:vAlign w:val="center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17"/>
              </w:rPr>
              <w:t>12:00-16:00</w:t>
            </w:r>
          </w:p>
        </w:tc>
        <w:tc>
          <w:tcPr>
            <w:tcW w:type="dxa" w:w="3022"/>
            <w:vAlign w:val="center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17"/>
              </w:rPr>
              <w:t>5286.0351769547315</w:t>
            </w:r>
          </w:p>
        </w:tc>
        <w:tc>
          <w:tcPr>
            <w:tcW w:type="dxa" w:w="3022"/>
            <w:vAlign w:val="center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17"/>
              </w:rPr>
              <w:t>91.1013833333335</w:t>
            </w:r>
          </w:p>
        </w:tc>
      </w:tr>
      <w:tr>
        <w:tc>
          <w:tcPr>
            <w:tcW w:type="dxa" w:w="3022"/>
            <w:vAlign w:val="center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17"/>
              </w:rPr>
              <w:t>16:00-20:00</w:t>
            </w:r>
          </w:p>
        </w:tc>
        <w:tc>
          <w:tcPr>
            <w:tcW w:type="dxa" w:w="3022"/>
            <w:vAlign w:val="center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17"/>
              </w:rPr>
              <w:t>0.0</w:t>
            </w:r>
          </w:p>
        </w:tc>
        <w:tc>
          <w:tcPr>
            <w:tcW w:type="dxa" w:w="3022"/>
            <w:vAlign w:val="center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17"/>
              </w:rPr>
              <w:t>5780.1318833333335</w:t>
            </w:r>
          </w:p>
        </w:tc>
      </w:tr>
      <w:tr>
        <w:tc>
          <w:tcPr>
            <w:tcW w:type="dxa" w:w="3022"/>
            <w:vAlign w:val="center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17"/>
              </w:rPr>
              <w:t>20:00-24:00</w:t>
            </w:r>
          </w:p>
        </w:tc>
        <w:tc>
          <w:tcPr>
            <w:tcW w:type="dxa" w:w="3022"/>
            <w:vAlign w:val="center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17"/>
              </w:rPr>
              <w:t>5333.333333333332</w:t>
            </w:r>
          </w:p>
        </w:tc>
        <w:tc>
          <w:tcPr>
            <w:tcW w:type="dxa" w:w="3022"/>
            <w:vAlign w:val="center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17"/>
              </w:rPr>
              <w:t>2859.8681166666665</w:t>
            </w:r>
          </w:p>
        </w:tc>
      </w:tr>
      <w:tr>
        <w:tc>
          <w:tcPr>
            <w:tcW w:type="dxa" w:w="3022"/>
            <w:vAlign w:val="center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17"/>
              </w:rPr>
              <w:t>全天</w:t>
            </w:r>
          </w:p>
        </w:tc>
        <w:tc>
          <w:tcPr>
            <w:tcW w:type="dxa" w:w="3022"/>
            <w:vAlign w:val="center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17"/>
              </w:rPr>
              <w:t>20740.66613168725</w:t>
            </w:r>
          </w:p>
        </w:tc>
        <w:tc>
          <w:tcPr>
            <w:tcW w:type="dxa" w:w="3022"/>
            <w:vAlign w:val="center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17"/>
              </w:rPr>
              <w:t>16799.939566666668</w:t>
            </w:r>
          </w:p>
        </w:tc>
      </w:tr>
    </w:tbl>
    <w:p>
      <w:pPr>
        <w:spacing w:after="120" w:line="324" w:lineRule="auto"/>
      </w:pPr>
      <w:r>
        <w:rPr>
          <w:rFonts w:ascii="宋体" w:hAnsi="宋体" w:eastAsia="宋体"/>
          <w:b w:val="0"/>
          <w:sz w:val="22"/>
        </w:rPr>
        <w:t>表2表明储能形成了“低价时段充电、高价时段放电”的调度模式。早间和午间以充电为主，16:00-20:00集中放电5780.1318833333335kWh；全天充电20740.66613168725kWh、放电16799.939566666668kWh，0:00和24:00储电量均为6000kWh。图4和图5进一步显示，优化购电功率较基准方案下降，充放电与SOC变化连续且不存在同时充放电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60000" cy="230400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第一问_基准与优化购电功率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2304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宋体" w:hAnsi="宋体" w:eastAsia="宋体"/>
          <w:b w:val="0"/>
          <w:sz w:val="22"/>
        </w:rPr>
        <w:t>图4 基准与优化购电功率对比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60000" cy="230400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第一问_充放电功率与SOC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2304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宋体" w:hAnsi="宋体" w:eastAsia="宋体"/>
          <w:b w:val="0"/>
          <w:sz w:val="22"/>
        </w:rPr>
        <w:t>图5 充放电功率与储电量变化</w:t>
      </w:r>
    </w:p>
    <w:p>
      <w:pPr>
        <w:spacing w:before="200" w:after="120"/>
      </w:pPr>
      <w:r>
        <w:rPr>
          <w:rFonts w:ascii="黑体" w:hAnsi="黑体" w:eastAsia="黑体"/>
          <w:b/>
          <w:sz w:val="30"/>
        </w:rPr>
        <w:t>5.4 模型检验</w:t>
      </w:r>
    </w:p>
    <w:p>
      <w:pPr>
        <w:spacing w:before="120" w:after="120"/>
      </w:pPr>
      <w:r>
        <w:rPr>
          <w:rFonts w:ascii="黑体" w:hAnsi="黑体" w:eastAsia="黑体"/>
          <w:b/>
          <w:sz w:val="25"/>
        </w:rPr>
        <w:t>5.4.1 约束与费用复算检验</w:t>
      </w:r>
    </w:p>
    <w:p>
      <w:pPr>
        <w:spacing w:after="120" w:line="324" w:lineRule="auto"/>
      </w:pPr>
      <w:r>
        <w:rPr>
          <w:rFonts w:ascii="宋体" w:hAnsi="宋体" w:eastAsia="宋体"/>
          <w:b w:val="0"/>
          <w:sz w:val="22"/>
        </w:rPr>
        <w:t>约束校验结果表明所得方案物理可行且数值一致。最大电能平衡残差为</w:t>
      </w:r>
      <w:r>
        <w:rPr>
          <w:rFonts w:ascii="Cambria Math" w:hAnsi="Cambria Math" w:eastAsia="Cambria Math"/>
          <w:b w:val="0"/>
          <w:i/>
          <w:sz w:val="22"/>
        </w:rPr>
        <w:t>2.2737367544323206</w:t>
      </w:r>
      <w:r>
        <w:rPr>
          <w:rFonts w:ascii="Cambria Math" w:hAnsi="Cambria Math" w:eastAsia="Cambria Math"/>
          <w:b w:val="0"/>
          <w:i/>
          <w:sz w:val="22"/>
        </w:rPr>
        <w:t>×</w:t>
      </w:r>
      <w:r>
        <w:rPr>
          <w:rFonts w:ascii="Cambria Math" w:hAnsi="Cambria Math" w:eastAsia="Cambria Math"/>
          <w:b w:val="0"/>
          <w:i/>
          <w:sz w:val="22"/>
        </w:rPr>
        <w:t>10</w:t>
      </w:r>
      <w:r>
        <w:rPr>
          <w:rFonts w:ascii="Cambria Math" w:hAnsi="Cambria Math" w:eastAsia="Cambria Math"/>
          <w:b w:val="0"/>
          <w:i/>
          <w:sz w:val="22"/>
          <w:vertAlign w:val="superscript"/>
        </w:rPr>
        <w:t>-13</w:t>
      </w:r>
      <w:r>
        <w:rPr>
          <w:rFonts w:ascii="宋体" w:hAnsi="宋体" w:eastAsia="宋体"/>
          <w:b w:val="0"/>
          <w:sz w:val="22"/>
        </w:rPr>
        <w:t>kWh，最大SOC递推残差和首末SOC误差均为0kWh，供电不足累计量为</w:t>
      </w:r>
      <w:r>
        <w:rPr>
          <w:rFonts w:ascii="Cambria Math" w:hAnsi="Cambria Math" w:eastAsia="Cambria Math"/>
          <w:b w:val="0"/>
          <w:i/>
          <w:sz w:val="22"/>
        </w:rPr>
        <w:t>6.961653475912044</w:t>
      </w:r>
      <w:r>
        <w:rPr>
          <w:rFonts w:ascii="Cambria Math" w:hAnsi="Cambria Math" w:eastAsia="Cambria Math"/>
          <w:b w:val="0"/>
          <w:i/>
          <w:sz w:val="22"/>
        </w:rPr>
        <w:t>×</w:t>
      </w:r>
      <w:r>
        <w:rPr>
          <w:rFonts w:ascii="Cambria Math" w:hAnsi="Cambria Math" w:eastAsia="Cambria Math"/>
          <w:b w:val="0"/>
          <w:i/>
          <w:sz w:val="22"/>
        </w:rPr>
        <w:t>10</w:t>
      </w:r>
      <w:r>
        <w:rPr>
          <w:rFonts w:ascii="Cambria Math" w:hAnsi="Cambria Math" w:eastAsia="Cambria Math"/>
          <w:b w:val="0"/>
          <w:i/>
          <w:sz w:val="22"/>
          <w:vertAlign w:val="superscript"/>
        </w:rPr>
        <w:t>-13</w:t>
      </w:r>
      <w:r>
        <w:rPr>
          <w:rFonts w:ascii="宋体" w:hAnsi="宋体" w:eastAsia="宋体"/>
          <w:b w:val="0"/>
          <w:sz w:val="22"/>
        </w:rPr>
        <w:t>kWh；最大充电功率为5000kW，最大放电功率为4293.9182kW，SOC范围为1199.9999999999998～10800kWh，同时充放电乘积最大值为0。</w:t>
      </w:r>
    </w:p>
    <w:p>
      <w:pPr>
        <w:spacing w:before="120" w:after="120"/>
      </w:pPr>
      <w:r>
        <w:rPr>
          <w:rFonts w:ascii="黑体" w:hAnsi="黑体" w:eastAsia="黑体"/>
          <w:b/>
          <w:sz w:val="25"/>
        </w:rPr>
        <w:t>5.4.2 灵敏度分析</w:t>
      </w:r>
    </w:p>
    <w:p>
      <w:pPr>
        <w:spacing w:after="120" w:line="324" w:lineRule="auto"/>
      </w:pPr>
      <w:r>
        <w:rPr>
          <w:rFonts w:ascii="宋体" w:hAnsi="宋体" w:eastAsia="宋体"/>
          <w:b w:val="0"/>
          <w:sz w:val="22"/>
        </w:rPr>
        <w:t>灵敏度分析表明购电费对负载和光伏变化最为敏感，电价按比例变化不改变购电与充放电计划。各因素在</w:t>
      </w:r>
      <w:r>
        <w:rPr>
          <w:rFonts w:ascii="Cambria Math" w:hAnsi="Cambria Math" w:eastAsia="Cambria Math"/>
          <w:b w:val="0"/>
          <w:i/>
          <w:sz w:val="22"/>
        </w:rPr>
        <w:t>-10</w:t>
      </w:r>
      <w:r>
        <w:rPr>
          <w:rFonts w:ascii="Cambria Math" w:hAnsi="Cambria Math" w:eastAsia="Cambria Math"/>
          <w:b w:val="0"/>
          <w:i/>
          <w:sz w:val="22"/>
        </w:rPr>
      </w:r>
      <w:r>
        <w:rPr>
          <w:rFonts w:ascii="Cambria Math" w:hAnsi="Cambria Math" w:eastAsia="Cambria Math"/>
          <w:b w:val="0"/>
          <w:i/>
          <w:sz w:val="22"/>
        </w:rPr>
        <w:t>%</w:t>
      </w:r>
      <w:r>
        <w:rPr>
          <w:rFonts w:ascii="宋体" w:hAnsi="宋体" w:eastAsia="宋体"/>
          <w:b w:val="0"/>
          <w:sz w:val="22"/>
        </w:rPr>
        <w:t>、</w:t>
      </w:r>
      <w:r>
        <w:rPr>
          <w:rFonts w:ascii="Cambria Math" w:hAnsi="Cambria Math" w:eastAsia="Cambria Math"/>
          <w:b w:val="0"/>
          <w:i/>
          <w:sz w:val="22"/>
        </w:rPr>
        <w:t>-5</w:t>
      </w:r>
      <w:r>
        <w:rPr>
          <w:rFonts w:ascii="Cambria Math" w:hAnsi="Cambria Math" w:eastAsia="Cambria Math"/>
          <w:b w:val="0"/>
          <w:i/>
          <w:sz w:val="22"/>
        </w:rPr>
      </w:r>
      <w:r>
        <w:rPr>
          <w:rFonts w:ascii="Cambria Math" w:hAnsi="Cambria Math" w:eastAsia="Cambria Math"/>
          <w:b w:val="0"/>
          <w:i/>
          <w:sz w:val="22"/>
        </w:rPr>
        <w:t>%</w:t>
      </w:r>
      <w:r>
        <w:rPr>
          <w:rFonts w:ascii="宋体" w:hAnsi="宋体" w:eastAsia="宋体"/>
          <w:b w:val="0"/>
          <w:sz w:val="22"/>
        </w:rPr>
        <w:t>、</w:t>
      </w:r>
      <w:r>
        <w:rPr>
          <w:rFonts w:ascii="Cambria Math" w:hAnsi="Cambria Math" w:eastAsia="Cambria Math"/>
          <w:b w:val="0"/>
          <w:i/>
          <w:sz w:val="22"/>
        </w:rPr>
        <w:t>0</w:t>
      </w:r>
      <w:r>
        <w:rPr>
          <w:rFonts w:ascii="Cambria Math" w:hAnsi="Cambria Math" w:eastAsia="Cambria Math"/>
          <w:b w:val="0"/>
          <w:i/>
          <w:sz w:val="22"/>
        </w:rPr>
      </w:r>
      <w:r>
        <w:rPr>
          <w:rFonts w:ascii="Cambria Math" w:hAnsi="Cambria Math" w:eastAsia="Cambria Math"/>
          <w:b w:val="0"/>
          <w:i/>
          <w:sz w:val="22"/>
        </w:rPr>
        <w:t>%</w:t>
      </w:r>
      <w:r>
        <w:rPr>
          <w:rFonts w:ascii="宋体" w:hAnsi="宋体" w:eastAsia="宋体"/>
          <w:b w:val="0"/>
          <w:sz w:val="22"/>
        </w:rPr>
        <w:t>、</w:t>
      </w:r>
      <w:r>
        <w:rPr>
          <w:rFonts w:ascii="Cambria Math" w:hAnsi="Cambria Math" w:eastAsia="Cambria Math"/>
          <w:b w:val="0"/>
          <w:i/>
          <w:sz w:val="22"/>
        </w:rPr>
        <w:t>+5</w:t>
      </w:r>
      <w:r>
        <w:rPr>
          <w:rFonts w:ascii="Cambria Math" w:hAnsi="Cambria Math" w:eastAsia="Cambria Math"/>
          <w:b w:val="0"/>
          <w:i/>
          <w:sz w:val="22"/>
        </w:rPr>
      </w:r>
      <w:r>
        <w:rPr>
          <w:rFonts w:ascii="Cambria Math" w:hAnsi="Cambria Math" w:eastAsia="Cambria Math"/>
          <w:b w:val="0"/>
          <w:i/>
          <w:sz w:val="22"/>
        </w:rPr>
        <w:t>%</w:t>
      </w:r>
      <w:r>
        <w:rPr>
          <w:rFonts w:ascii="宋体" w:hAnsi="宋体" w:eastAsia="宋体"/>
          <w:b w:val="0"/>
          <w:sz w:val="22"/>
        </w:rPr>
        <w:t>和</w:t>
      </w:r>
      <w:r>
        <w:rPr>
          <w:rFonts w:ascii="Cambria Math" w:hAnsi="Cambria Math" w:eastAsia="Cambria Math"/>
          <w:b w:val="0"/>
          <w:i/>
          <w:sz w:val="22"/>
        </w:rPr>
        <w:t>+10</w:t>
      </w:r>
      <w:r>
        <w:rPr>
          <w:rFonts w:ascii="Cambria Math" w:hAnsi="Cambria Math" w:eastAsia="Cambria Math"/>
          <w:b w:val="0"/>
          <w:i/>
          <w:sz w:val="22"/>
        </w:rPr>
      </w:r>
      <w:r>
        <w:rPr>
          <w:rFonts w:ascii="Cambria Math" w:hAnsi="Cambria Math" w:eastAsia="Cambria Math"/>
          <w:b w:val="0"/>
          <w:i/>
          <w:sz w:val="22"/>
        </w:rPr>
        <w:t>%</w:t>
      </w:r>
      <w:r>
        <w:rPr>
          <w:rFonts w:ascii="宋体" w:hAnsi="宋体" w:eastAsia="宋体"/>
          <w:b w:val="0"/>
          <w:sz w:val="22"/>
        </w:rPr>
        <w:t>扰动下的全天购电费如表3所示。</w:t>
      </w:r>
    </w:p>
    <w:p>
      <w:pPr>
        <w:spacing w:before="120" w:after="60"/>
        <w:jc w:val="center"/>
      </w:pPr>
      <w:r>
        <w:rPr>
          <w:rFonts w:ascii="宋体" w:hAnsi="宋体" w:eastAsia="宋体"/>
          <w:b/>
          <w:sz w:val="22"/>
        </w:rPr>
        <w:t>表3 全天购电费灵敏度结果（元）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511"/>
        <w:gridCol w:w="1511"/>
        <w:gridCol w:w="1511"/>
        <w:gridCol w:w="1511"/>
        <w:gridCol w:w="1511"/>
        <w:gridCol w:w="1511"/>
      </w:tblGrid>
      <w:tr>
        <w:tc>
          <w:tcPr>
            <w:tcW w:type="dxa" w:w="1511"/>
            <w:vAlign w:val="center"/>
            <w:shd w:fill="D9EAF7"/>
          </w:tcPr>
          <w:p>
            <w:pPr>
              <w:jc w:val="center"/>
            </w:pPr>
            <w:r>
              <w:rPr>
                <w:rFonts w:ascii="宋体" w:hAnsi="宋体" w:eastAsia="宋体"/>
                <w:b/>
                <w:sz w:val="17"/>
              </w:rPr>
              <w:t>因素</w:t>
            </w:r>
          </w:p>
        </w:tc>
        <w:tc>
          <w:tcPr>
            <w:tcW w:type="dxa" w:w="1511"/>
            <w:vAlign w:val="center"/>
            <w:shd w:fill="D9EAF7"/>
          </w:tcPr>
          <w:p>
            <w:pPr>
              <w:jc w:val="center"/>
            </w:pPr>
            <w:r>
              <w:rPr>
                <w:rFonts w:ascii="宋体" w:hAnsi="宋体" w:eastAsia="宋体"/>
                <w:b/>
                <w:sz w:val="17"/>
              </w:rPr>
              <w:t>-10%</w:t>
            </w:r>
          </w:p>
        </w:tc>
        <w:tc>
          <w:tcPr>
            <w:tcW w:type="dxa" w:w="1511"/>
            <w:vAlign w:val="center"/>
            <w:shd w:fill="D9EAF7"/>
          </w:tcPr>
          <w:p>
            <w:pPr>
              <w:jc w:val="center"/>
            </w:pPr>
            <w:r>
              <w:rPr>
                <w:rFonts w:ascii="宋体" w:hAnsi="宋体" w:eastAsia="宋体"/>
                <w:b/>
                <w:sz w:val="17"/>
              </w:rPr>
              <w:t>-5%</w:t>
            </w:r>
          </w:p>
        </w:tc>
        <w:tc>
          <w:tcPr>
            <w:tcW w:type="dxa" w:w="1511"/>
            <w:vAlign w:val="center"/>
            <w:shd w:fill="D9EAF7"/>
          </w:tcPr>
          <w:p>
            <w:pPr>
              <w:jc w:val="center"/>
            </w:pPr>
            <w:r>
              <w:rPr>
                <w:rFonts w:ascii="宋体" w:hAnsi="宋体" w:eastAsia="宋体"/>
                <w:b/>
                <w:sz w:val="17"/>
              </w:rPr>
              <w:t>0%</w:t>
            </w:r>
          </w:p>
        </w:tc>
        <w:tc>
          <w:tcPr>
            <w:tcW w:type="dxa" w:w="1511"/>
            <w:vAlign w:val="center"/>
            <w:shd w:fill="D9EAF7"/>
          </w:tcPr>
          <w:p>
            <w:pPr>
              <w:jc w:val="center"/>
            </w:pPr>
            <w:r>
              <w:rPr>
                <w:rFonts w:ascii="宋体" w:hAnsi="宋体" w:eastAsia="宋体"/>
                <w:b/>
                <w:sz w:val="17"/>
              </w:rPr>
              <w:t>+5%</w:t>
            </w:r>
          </w:p>
        </w:tc>
        <w:tc>
          <w:tcPr>
            <w:tcW w:type="dxa" w:w="1511"/>
            <w:vAlign w:val="center"/>
            <w:shd w:fill="D9EAF7"/>
          </w:tcPr>
          <w:p>
            <w:pPr>
              <w:jc w:val="center"/>
            </w:pPr>
            <w:r>
              <w:rPr>
                <w:rFonts w:ascii="宋体" w:hAnsi="宋体" w:eastAsia="宋体"/>
                <w:b/>
                <w:sz w:val="17"/>
              </w:rPr>
              <w:t>+10%</w:t>
            </w:r>
          </w:p>
        </w:tc>
      </w:tr>
      <w:tr>
        <w:tc>
          <w:tcPr>
            <w:tcW w:type="dxa" w:w="1511"/>
            <w:vAlign w:val="center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17"/>
              </w:rPr>
              <w:t>负荷</w:t>
            </w:r>
          </w:p>
        </w:tc>
        <w:tc>
          <w:tcPr>
            <w:tcW w:type="dxa" w:w="1511"/>
            <w:vAlign w:val="center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17"/>
              </w:rPr>
              <w:t>28073.627584719536</w:t>
            </w:r>
          </w:p>
        </w:tc>
        <w:tc>
          <w:tcPr>
            <w:tcW w:type="dxa" w:w="1511"/>
            <w:vAlign w:val="center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17"/>
              </w:rPr>
              <w:t>31552.184280896938</w:t>
            </w:r>
          </w:p>
        </w:tc>
        <w:tc>
          <w:tcPr>
            <w:tcW w:type="dxa" w:w="1511"/>
            <w:vAlign w:val="center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17"/>
              </w:rPr>
              <w:t>35126.948589289634</w:t>
            </w:r>
          </w:p>
        </w:tc>
        <w:tc>
          <w:tcPr>
            <w:tcW w:type="dxa" w:w="1511"/>
            <w:vAlign w:val="center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17"/>
              </w:rPr>
              <w:t>38834.167695855984</w:t>
            </w:r>
          </w:p>
        </w:tc>
        <w:tc>
          <w:tcPr>
            <w:tcW w:type="dxa" w:w="1511"/>
            <w:vAlign w:val="center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17"/>
              </w:rPr>
              <w:t>42745.80854907042</w:t>
            </w:r>
          </w:p>
        </w:tc>
      </w:tr>
      <w:tr>
        <w:tc>
          <w:tcPr>
            <w:tcW w:type="dxa" w:w="1511"/>
            <w:vAlign w:val="center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17"/>
              </w:rPr>
              <w:t>光伏</w:t>
            </w:r>
          </w:p>
        </w:tc>
        <w:tc>
          <w:tcPr>
            <w:tcW w:type="dxa" w:w="1511"/>
            <w:vAlign w:val="center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17"/>
              </w:rPr>
              <w:t>38422.56108838365</w:t>
            </w:r>
          </w:p>
        </w:tc>
        <w:tc>
          <w:tcPr>
            <w:tcW w:type="dxa" w:w="1511"/>
            <w:vAlign w:val="center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17"/>
              </w:rPr>
              <w:t>36697.187485855306</w:t>
            </w:r>
          </w:p>
        </w:tc>
        <w:tc>
          <w:tcPr>
            <w:tcW w:type="dxa" w:w="1511"/>
            <w:vAlign w:val="center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17"/>
              </w:rPr>
              <w:t>35126.948589289634</w:t>
            </w:r>
          </w:p>
        </w:tc>
        <w:tc>
          <w:tcPr>
            <w:tcW w:type="dxa" w:w="1511"/>
            <w:vAlign w:val="center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17"/>
              </w:rPr>
              <w:t>33630.57996634062</w:t>
            </w:r>
          </w:p>
        </w:tc>
        <w:tc>
          <w:tcPr>
            <w:tcW w:type="dxa" w:w="1511"/>
            <w:vAlign w:val="center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17"/>
              </w:rPr>
              <w:t>32211.933456573755</w:t>
            </w:r>
          </w:p>
        </w:tc>
      </w:tr>
      <w:tr>
        <w:tc>
          <w:tcPr>
            <w:tcW w:type="dxa" w:w="1511"/>
            <w:vAlign w:val="center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17"/>
              </w:rPr>
              <w:t>电价</w:t>
            </w:r>
          </w:p>
        </w:tc>
        <w:tc>
          <w:tcPr>
            <w:tcW w:type="dxa" w:w="1511"/>
            <w:vAlign w:val="center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17"/>
              </w:rPr>
              <w:t>31614.253730360666</w:t>
            </w:r>
          </w:p>
        </w:tc>
        <w:tc>
          <w:tcPr>
            <w:tcW w:type="dxa" w:w="1511"/>
            <w:vAlign w:val="center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17"/>
              </w:rPr>
              <w:t>33370.60115982515</w:t>
            </w:r>
          </w:p>
        </w:tc>
        <w:tc>
          <w:tcPr>
            <w:tcW w:type="dxa" w:w="1511"/>
            <w:vAlign w:val="center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17"/>
              </w:rPr>
              <w:t>35126.948589289634</w:t>
            </w:r>
          </w:p>
        </w:tc>
        <w:tc>
          <w:tcPr>
            <w:tcW w:type="dxa" w:w="1511"/>
            <w:vAlign w:val="center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17"/>
              </w:rPr>
              <w:t>36883.29601875412</w:t>
            </w:r>
          </w:p>
        </w:tc>
        <w:tc>
          <w:tcPr>
            <w:tcW w:type="dxa" w:w="1511"/>
            <w:vAlign w:val="center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17"/>
              </w:rPr>
              <w:t>38639.643448218594</w:t>
            </w:r>
          </w:p>
        </w:tc>
      </w:tr>
      <w:tr>
        <w:tc>
          <w:tcPr>
            <w:tcW w:type="dxa" w:w="1511"/>
            <w:vAlign w:val="center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17"/>
              </w:rPr>
              <w:t>充放电效率</w:t>
            </w:r>
          </w:p>
        </w:tc>
        <w:tc>
          <w:tcPr>
            <w:tcW w:type="dxa" w:w="1511"/>
            <w:vAlign w:val="center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17"/>
              </w:rPr>
              <w:t>37888.249121037356</w:t>
            </w:r>
          </w:p>
        </w:tc>
        <w:tc>
          <w:tcPr>
            <w:tcW w:type="dxa" w:w="1511"/>
            <w:vAlign w:val="center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17"/>
              </w:rPr>
              <w:t>36447.92210903761</w:t>
            </w:r>
          </w:p>
        </w:tc>
        <w:tc>
          <w:tcPr>
            <w:tcW w:type="dxa" w:w="1511"/>
            <w:vAlign w:val="center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17"/>
              </w:rPr>
              <w:t>35126.948589289634</w:t>
            </w:r>
          </w:p>
        </w:tc>
        <w:tc>
          <w:tcPr>
            <w:tcW w:type="dxa" w:w="1511"/>
            <w:vAlign w:val="center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17"/>
              </w:rPr>
              <w:t>33898.269805588876</w:t>
            </w:r>
          </w:p>
        </w:tc>
        <w:tc>
          <w:tcPr>
            <w:tcW w:type="dxa" w:w="1511"/>
            <w:vAlign w:val="center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17"/>
              </w:rPr>
              <w:t>32695.44740745634</w:t>
            </w:r>
          </w:p>
        </w:tc>
      </w:tr>
    </w:tbl>
    <w:p>
      <w:pPr>
        <w:spacing w:after="120" w:line="324" w:lineRule="auto"/>
      </w:pPr>
      <w:r>
        <w:rPr>
          <w:rFonts w:ascii="宋体" w:hAnsi="宋体" w:eastAsia="宋体"/>
          <w:b w:val="0"/>
          <w:sz w:val="22"/>
        </w:rPr>
        <w:t>表3及图6表明模型结果具有稳定性和可解释性。负载增加会提高购电量与购电费，光伏增加则降低二者；电价扰动只按比例改变费用，不影响最优调度结构；充放电效率提高可减少能量损失并降低购电费，说明降低储能损耗具有经济价值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60000" cy="3766154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第一问_灵敏度分析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376615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宋体" w:hAnsi="宋体" w:eastAsia="宋体"/>
          <w:b w:val="0"/>
          <w:sz w:val="22"/>
        </w:rPr>
        <w:t>图6 关键参数灵敏度分析</w:t>
      </w:r>
    </w:p>
    <w:p>
      <w:pPr>
        <w:spacing w:after="120" w:line="324" w:lineRule="auto"/>
      </w:pPr>
      <w:r>
        <w:rPr>
          <w:rFonts w:ascii="宋体" w:hAnsi="宋体" w:eastAsia="宋体"/>
          <w:b w:val="0"/>
          <w:sz w:val="22"/>
        </w:rPr>
        <w:t>综上，所建MILP模型能够在满足功率、能量平衡和储能安全约束的前提下，利用峰谷电价差降低微网购电费用，所得购电策略具有最优性、可行性和一定的参数稳定性。</w:t>
      </w:r>
    </w:p>
    <w:sectPr w:rsidR="00FC693F" w:rsidRPr="0006063C" w:rsidSect="00034616">
      <w:pgSz w:w="12240" w:h="15840"/>
      <w:pgMar w:top="1440" w:right="1587" w:bottom="1440" w:left="158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 w:eastAsia="宋体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