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  <w:jc w:val="center"/>
      </w:pPr>
      <w:r>
        <w:rPr>
          <w:rFonts w:ascii="黑体" w:hAnsi="黑体" w:eastAsia="黑体"/>
          <w:b/>
          <w:sz w:val="36"/>
        </w:rPr>
        <w:t>七、问题三的模型建立与求解部分</w:t>
      </w:r>
    </w:p>
    <w:p>
      <w:pPr>
        <w:spacing w:before="200" w:after="120"/>
      </w:pPr>
      <w:r>
        <w:rPr>
          <w:rFonts w:ascii="黑体" w:hAnsi="黑体" w:eastAsia="黑体"/>
          <w:b/>
          <w:sz w:val="30"/>
        </w:rPr>
        <w:t>7.1 数据预处理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2"/>
        </w:rPr>
        <w:t>本问题在输出期2025-02-01至2025-12-31共334天、48096个10分钟时段上完成滚动调度。逐日汇总数据表明，小区负载电量范围为71490.16935～141565.538633kWh，光伏实际电量范围为34835.667517～75223.006167kWh；输出期负荷电量为37008079.48925kWh，光伏电量为19068889.994283kWh。附件3每天提供0:00、6:00、12:00、18:00四个发布时点的未来24小时整点光伏预报，为滚动调整提供信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5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指定日期_预报更新与购电调整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 w:val="0"/>
          <w:sz w:val="22"/>
        </w:rPr>
        <w:t>图1 指定日期实际光伏、预报与计划调整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2"/>
        </w:rPr>
        <w:t>数据处理按以下五个步骤完成：</w:t>
      </w:r>
    </w:p>
    <w:p>
      <w:pPr>
        <w:spacing w:after="80" w:line="312" w:lineRule="auto"/>
        <w:ind w:left="420" w:hanging="420"/>
      </w:pPr>
      <w:r>
        <w:rPr>
          <w:rFonts w:ascii="宋体" w:hAnsi="宋体" w:eastAsia="宋体"/>
          <w:b w:val="0"/>
          <w:sz w:val="22"/>
        </w:rPr>
        <w:t>1. 储能参数读取保证模型参数来自附录1。容量为12000kWh，最大充放电功率为5000kW，SOC范围为1200～10800kWh，充放电效率为0.9。</w:t>
      </w:r>
    </w:p>
    <w:p>
      <w:pPr>
        <w:spacing w:after="80" w:line="312" w:lineRule="auto"/>
        <w:ind w:left="420" w:hanging="420"/>
      </w:pPr>
      <w:r>
        <w:rPr>
          <w:rFonts w:ascii="宋体" w:hAnsi="宋体" w:eastAsia="宋体"/>
          <w:b w:val="0"/>
          <w:sz w:val="22"/>
        </w:rPr>
        <w:t>2. 附件读取与结构校验保证输入完整。分别读取附件1电价、附件2实际负载和光伏、附件3逐日逐时预报，并检查时间范围、日期连续性和数值合法性。</w:t>
      </w:r>
    </w:p>
    <w:p>
      <w:pPr>
        <w:spacing w:after="80" w:line="312" w:lineRule="auto"/>
        <w:ind w:left="420" w:hanging="420"/>
      </w:pPr>
      <w:r>
        <w:rPr>
          <w:rFonts w:ascii="宋体" w:hAnsi="宋体" w:eastAsia="宋体"/>
          <w:b w:val="0"/>
          <w:sz w:val="22"/>
        </w:rPr>
        <w:t>3. 预报展开实现小时预报到10分钟预报的映射。附件3中“预报k小时”解释为发布时刻后第k小时的平均光伏功率，将该小时值复制到对应6个10分钟时段。</w:t>
      </w:r>
    </w:p>
    <w:p>
      <w:pPr>
        <w:spacing w:after="80" w:line="312" w:lineRule="auto"/>
        <w:ind w:left="420" w:hanging="420"/>
      </w:pPr>
      <w:r>
        <w:rPr>
          <w:rFonts w:ascii="宋体" w:hAnsi="宋体" w:eastAsia="宋体"/>
          <w:b w:val="0"/>
          <w:sz w:val="22"/>
        </w:rPr>
        <w:t>4. 量纲转换保证功率统一为电量。取</w:t>
      </w:r>
      <w:r>
        <w:rPr>
          <w:rFonts w:ascii="Cambria Math" w:hAnsi="Cambria Math" w:eastAsia="Cambria Math"/>
          <w:b w:val="0"/>
          <w:i/>
          <w:sz w:val="22"/>
        </w:rPr>
        <w:t>Δ</w:t>
      </w:r>
      <w:r>
        <w:rPr>
          <w:rFonts w:ascii="Cambria Math" w:hAnsi="Cambria Math" w:eastAsia="Cambria Math"/>
          <w:b w:val="0"/>
          <w:i/>
          <w:sz w:val="22"/>
        </w:rPr>
        <w:t xml:space="preserve"> t=1/6</w:t>
      </w:r>
      <w:r>
        <w:rPr>
          <w:rFonts w:ascii="宋体" w:hAnsi="宋体" w:eastAsia="宋体"/>
          <w:b w:val="0"/>
          <w:sz w:val="22"/>
        </w:rPr>
        <w:t>h，按</w:t>
      </w:r>
      <w:r>
        <w:rPr>
          <w:rFonts w:ascii="Cambria Math" w:hAnsi="Cambria Math" w:eastAsia="Cambria Math"/>
          <w:b w:val="0"/>
          <w:i/>
          <w:sz w:val="22"/>
        </w:rPr>
        <w:t>L</w:t>
      </w:r>
      <w:r>
        <w:rPr>
          <w:rFonts w:ascii="Cambria Math" w:hAnsi="Cambria Math" w:eastAsia="Cambria Math"/>
          <w:b w:val="0"/>
          <w:i/>
          <w:sz w:val="22"/>
          <w:vertAlign w:val="subscript"/>
        </w:rPr>
        <w:t>t</w:t>
      </w:r>
      <w:r>
        <w:rPr>
          <w:rFonts w:ascii="Cambria Math" w:hAnsi="Cambria Math" w:eastAsia="Cambria Math"/>
          <w:b w:val="0"/>
          <w:i/>
          <w:sz w:val="22"/>
        </w:rPr>
        <w:t>=P</w:t>
      </w:r>
      <w:r>
        <w:rPr>
          <w:rFonts w:ascii="Cambria Math" w:hAnsi="Cambria Math" w:eastAsia="Cambria Math"/>
          <w:b w:val="0"/>
          <w:i/>
          <w:sz w:val="22"/>
          <w:vertAlign w:val="subscript"/>
        </w:rPr>
        <w:t>t</w:t>
      </w:r>
      <w:r>
        <w:rPr>
          <w:rFonts w:ascii="Cambria Math" w:hAnsi="Cambria Math" w:eastAsia="Cambria Math"/>
          <w:b w:val="0"/>
          <w:i/>
          <w:sz w:val="22"/>
          <w:vertAlign w:val="superscript"/>
        </w:rPr>
        <w:t>L</w:t>
      </w:r>
      <w:r>
        <w:rPr>
          <w:rFonts w:ascii="Cambria Math" w:hAnsi="Cambria Math" w:eastAsia="Cambria Math"/>
          <w:b w:val="0"/>
          <w:i/>
          <w:sz w:val="22"/>
        </w:rPr>
        <w:t>Δ</w:t>
      </w:r>
      <w:r>
        <w:rPr>
          <w:rFonts w:ascii="Cambria Math" w:hAnsi="Cambria Math" w:eastAsia="Cambria Math"/>
          <w:b w:val="0"/>
          <w:i/>
          <w:sz w:val="22"/>
        </w:rPr>
        <w:t xml:space="preserve"> t</w:t>
      </w:r>
      <w:r>
        <w:rPr>
          <w:rFonts w:ascii="宋体" w:hAnsi="宋体" w:eastAsia="宋体"/>
          <w:b w:val="0"/>
          <w:sz w:val="22"/>
        </w:rPr>
        <w:t>、</w:t>
      </w:r>
      <w:r>
        <w:rPr>
          <w:rFonts w:ascii="Cambria Math" w:hAnsi="Cambria Math" w:eastAsia="Cambria Math"/>
          <w:b w:val="0"/>
          <w:i/>
          <w:sz w:val="22"/>
        </w:rPr>
        <w:t>G</w:t>
      </w:r>
      <w:r>
        <w:rPr>
          <w:rFonts w:ascii="Cambria Math" w:hAnsi="Cambria Math" w:eastAsia="Cambria Math"/>
          <w:b w:val="0"/>
          <w:i/>
          <w:sz w:val="22"/>
          <w:vertAlign w:val="subscript"/>
        </w:rPr>
        <w:t>t</w:t>
      </w:r>
      <w:r>
        <w:rPr>
          <w:rFonts w:ascii="Cambria Math" w:hAnsi="Cambria Math" w:eastAsia="Cambria Math"/>
          <w:b w:val="0"/>
          <w:i/>
          <w:sz w:val="22"/>
        </w:rPr>
        <w:t>=P</w:t>
      </w:r>
      <w:r>
        <w:rPr>
          <w:rFonts w:ascii="Cambria Math" w:hAnsi="Cambria Math" w:eastAsia="Cambria Math"/>
          <w:b w:val="0"/>
          <w:i/>
          <w:sz w:val="22"/>
          <w:vertAlign w:val="subscript"/>
        </w:rPr>
        <w:t>t</w:t>
      </w:r>
      <w:r>
        <w:rPr>
          <w:rFonts w:ascii="Cambria Math" w:hAnsi="Cambria Math" w:eastAsia="Cambria Math"/>
          <w:b w:val="0"/>
          <w:i/>
          <w:sz w:val="22"/>
          <w:vertAlign w:val="superscript"/>
        </w:rPr>
        <w:t>PV</w:t>
      </w:r>
      <w:r>
        <w:rPr>
          <w:rFonts w:ascii="Cambria Math" w:hAnsi="Cambria Math" w:eastAsia="Cambria Math"/>
          <w:b w:val="0"/>
          <w:i/>
          <w:sz w:val="22"/>
        </w:rPr>
        <w:t>Δ</w:t>
      </w:r>
      <w:r>
        <w:rPr>
          <w:rFonts w:ascii="Cambria Math" w:hAnsi="Cambria Math" w:eastAsia="Cambria Math"/>
          <w:b w:val="0"/>
          <w:i/>
          <w:sz w:val="22"/>
        </w:rPr>
        <w:t xml:space="preserve"> t</w:t>
      </w:r>
      <w:r>
        <w:rPr>
          <w:rFonts w:ascii="宋体" w:hAnsi="宋体" w:eastAsia="宋体"/>
          <w:b w:val="0"/>
          <w:sz w:val="22"/>
        </w:rPr>
        <w:t>将实际负载和光伏功率转换为kWh。</w:t>
      </w:r>
    </w:p>
    <w:p>
      <w:pPr>
        <w:spacing w:after="80" w:line="312" w:lineRule="auto"/>
        <w:ind w:left="420" w:hanging="420"/>
      </w:pPr>
      <w:r>
        <w:rPr>
          <w:rFonts w:ascii="宋体" w:hAnsi="宋体" w:eastAsia="宋体"/>
          <w:b w:val="0"/>
          <w:sz w:val="22"/>
        </w:rPr>
        <w:t>5. 输出期筛选保证模型覆盖题目要求。筛选2025-02-01至2025-12-31共334天，并连接逐日电价形成滚动优化输入。</w:t>
      </w:r>
    </w:p>
    <w:p>
      <w:pPr>
        <w:spacing w:before="200" w:after="120"/>
      </w:pPr>
      <w:r>
        <w:rPr>
          <w:rFonts w:ascii="黑体" w:hAnsi="黑体" w:eastAsia="黑体"/>
          <w:b/>
          <w:sz w:val="30"/>
        </w:rPr>
        <w:t>7.2 滚动预报与调整购电MILP模型建立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2"/>
        </w:rPr>
        <w:t>问题三适宜建立为两阶段滚动MILP模型。第一阶段在每天0:00利用0:00光伏预报制定全天计划；第二阶段在6:00、12:00和18:00利用新预报调整尚未执行的时段，且不回溯修改已执行计划。决策变量包括计划购电量</w:t>
      </w:r>
      <w:r>
        <w:rPr>
          <w:rFonts w:ascii="Cambria Math" w:hAnsi="Cambria Math" w:eastAsia="Cambria Math"/>
          <w:b w:val="0"/>
          <w:i/>
          <w:sz w:val="22"/>
        </w:rPr>
        <w:t>x</w:t>
      </w:r>
      <w:r>
        <w:rPr>
          <w:rFonts w:ascii="Cambria Math" w:hAnsi="Cambria Math" w:eastAsia="Cambria Math"/>
          <w:b w:val="0"/>
          <w:i/>
          <w:sz w:val="22"/>
          <w:vertAlign w:val="subscript"/>
        </w:rPr>
        <w:t>t</w:t>
      </w:r>
      <w:r>
        <w:rPr>
          <w:rFonts w:ascii="Cambria Math" w:hAnsi="Cambria Math" w:eastAsia="Cambria Math"/>
          <w:b w:val="0"/>
          <w:i/>
          <w:sz w:val="22"/>
          <w:vertAlign w:val="superscript"/>
        </w:rPr>
        <w:t>P</w:t>
      </w:r>
      <w:r>
        <w:rPr>
          <w:rFonts w:ascii="宋体" w:hAnsi="宋体" w:eastAsia="宋体"/>
          <w:b w:val="0"/>
          <w:sz w:val="22"/>
        </w:rPr>
        <w:t>、紧急购电量</w:t>
      </w:r>
      <w:r>
        <w:rPr>
          <w:rFonts w:ascii="Cambria Math" w:hAnsi="Cambria Math" w:eastAsia="Cambria Math"/>
          <w:b w:val="0"/>
          <w:i/>
          <w:sz w:val="22"/>
        </w:rPr>
        <w:t>e</w:t>
      </w:r>
      <w:r>
        <w:rPr>
          <w:rFonts w:ascii="Cambria Math" w:hAnsi="Cambria Math" w:eastAsia="Cambria Math"/>
          <w:b w:val="0"/>
          <w:i/>
          <w:sz w:val="22"/>
          <w:vertAlign w:val="subscript"/>
        </w:rPr>
        <w:t>t</w:t>
      </w:r>
      <w:r>
        <w:rPr>
          <w:rFonts w:ascii="Cambria Math" w:hAnsi="Cambria Math" w:eastAsia="Cambria Math"/>
          <w:b w:val="0"/>
          <w:i/>
          <w:sz w:val="22"/>
          <w:vertAlign w:val="superscript"/>
        </w:rPr>
        <w:t>P</w:t>
      </w:r>
      <w:r>
        <w:rPr>
          <w:rFonts w:ascii="宋体" w:hAnsi="宋体" w:eastAsia="宋体"/>
          <w:b w:val="0"/>
          <w:sz w:val="22"/>
        </w:rPr>
        <w:t>、充电量</w:t>
      </w:r>
      <w:r>
        <w:rPr>
          <w:rFonts w:ascii="Cambria Math" w:hAnsi="Cambria Math" w:eastAsia="Cambria Math"/>
          <w:b w:val="0"/>
          <w:i/>
          <w:sz w:val="22"/>
        </w:rPr>
        <w:t>c</w:t>
      </w:r>
      <w:r>
        <w:rPr>
          <w:rFonts w:ascii="Cambria Math" w:hAnsi="Cambria Math" w:eastAsia="Cambria Math"/>
          <w:b w:val="0"/>
          <w:i/>
          <w:sz w:val="22"/>
          <w:vertAlign w:val="subscript"/>
        </w:rPr>
        <w:t>t</w:t>
      </w:r>
      <w:r>
        <w:rPr>
          <w:rFonts w:ascii="宋体" w:hAnsi="宋体" w:eastAsia="宋体"/>
          <w:b w:val="0"/>
          <w:sz w:val="22"/>
        </w:rPr>
        <w:t>、放电量</w:t>
      </w:r>
      <w:r>
        <w:rPr>
          <w:rFonts w:ascii="Cambria Math" w:hAnsi="Cambria Math" w:eastAsia="Cambria Math"/>
          <w:b w:val="0"/>
          <w:i/>
          <w:sz w:val="22"/>
        </w:rPr>
        <w:t>d</w:t>
      </w:r>
      <w:r>
        <w:rPr>
          <w:rFonts w:ascii="Cambria Math" w:hAnsi="Cambria Math" w:eastAsia="Cambria Math"/>
          <w:b w:val="0"/>
          <w:i/>
          <w:sz w:val="22"/>
          <w:vertAlign w:val="subscript"/>
        </w:rPr>
        <w:t>t</w:t>
      </w:r>
      <w:r>
        <w:rPr>
          <w:rFonts w:ascii="宋体" w:hAnsi="宋体" w:eastAsia="宋体"/>
          <w:b w:val="0"/>
          <w:sz w:val="22"/>
        </w:rPr>
        <w:t>、储电量</w:t>
      </w:r>
      <w:r>
        <w:rPr>
          <w:rFonts w:ascii="Cambria Math" w:hAnsi="Cambria Math" w:eastAsia="Cambria Math"/>
          <w:b w:val="0"/>
          <w:i/>
          <w:sz w:val="22"/>
        </w:rPr>
        <w:t>E</w:t>
      </w:r>
      <w:r>
        <w:rPr>
          <w:rFonts w:ascii="Cambria Math" w:hAnsi="Cambria Math" w:eastAsia="Cambria Math"/>
          <w:b w:val="0"/>
          <w:i/>
          <w:sz w:val="22"/>
          <w:vertAlign w:val="subscript"/>
        </w:rPr>
        <w:t>t</w:t>
      </w:r>
      <w:r>
        <w:rPr>
          <w:rFonts w:ascii="宋体" w:hAnsi="宋体" w:eastAsia="宋体"/>
          <w:b w:val="0"/>
          <w:sz w:val="22"/>
        </w:rPr>
        <w:t>、弃光量</w:t>
      </w:r>
      <w:r>
        <w:rPr>
          <w:rFonts w:ascii="Cambria Math" w:hAnsi="Cambria Math" w:eastAsia="Cambria Math"/>
          <w:b w:val="0"/>
          <w:i/>
          <w:sz w:val="22"/>
        </w:rPr>
        <w:t>s</w:t>
      </w:r>
      <w:r>
        <w:rPr>
          <w:rFonts w:ascii="Cambria Math" w:hAnsi="Cambria Math" w:eastAsia="Cambria Math"/>
          <w:b w:val="0"/>
          <w:i/>
          <w:sz w:val="22"/>
          <w:vertAlign w:val="subscript"/>
        </w:rPr>
        <w:t>t</w:t>
      </w:r>
      <w:r>
        <w:rPr>
          <w:rFonts w:ascii="宋体" w:hAnsi="宋体" w:eastAsia="宋体"/>
          <w:b w:val="0"/>
          <w:sz w:val="22"/>
        </w:rPr>
        <w:t>、充放电状态</w:t>
      </w:r>
      <w:r>
        <w:rPr>
          <w:rFonts w:ascii="Cambria Math" w:hAnsi="Cambria Math" w:eastAsia="Cambria Math"/>
          <w:b w:val="0"/>
          <w:i/>
          <w:sz w:val="22"/>
        </w:rPr>
        <w:t>z</w:t>
      </w:r>
      <w:r>
        <w:rPr>
          <w:rFonts w:ascii="Cambria Math" w:hAnsi="Cambria Math" w:eastAsia="Cambria Math"/>
          <w:b w:val="0"/>
          <w:i/>
          <w:sz w:val="22"/>
          <w:vertAlign w:val="subscript"/>
        </w:rPr>
        <w:t>t</w:t>
      </w:r>
      <w:r>
        <w:rPr>
          <w:rFonts w:ascii="宋体" w:hAnsi="宋体" w:eastAsia="宋体"/>
          <w:b w:val="0"/>
          <w:sz w:val="22"/>
        </w:rPr>
        <w:t>，以及调整购电量</w:t>
      </w:r>
      <w:r>
        <w:rPr>
          <w:rFonts w:ascii="Cambria Math" w:hAnsi="Cambria Math" w:eastAsia="Cambria Math"/>
          <w:b w:val="0"/>
          <w:i/>
          <w:sz w:val="22"/>
        </w:rPr>
        <w:t>x</w:t>
      </w:r>
      <w:r>
        <w:rPr>
          <w:rFonts w:ascii="Cambria Math" w:hAnsi="Cambria Math" w:eastAsia="Cambria Math"/>
          <w:b w:val="0"/>
          <w:i/>
          <w:sz w:val="22"/>
          <w:vertAlign w:val="subscript"/>
        </w:rPr>
        <w:t>t</w:t>
      </w:r>
      <w:r>
        <w:rPr>
          <w:rFonts w:ascii="Cambria Math" w:hAnsi="Cambria Math" w:eastAsia="Cambria Math"/>
          <w:b w:val="0"/>
          <w:i/>
          <w:sz w:val="22"/>
          <w:vertAlign w:val="superscript"/>
        </w:rPr>
        <w:t>A</w:t>
      </w:r>
      <w:r>
        <w:rPr>
          <w:rFonts w:ascii="宋体" w:hAnsi="宋体" w:eastAsia="宋体"/>
          <w:b w:val="0"/>
          <w:sz w:val="22"/>
        </w:rPr>
        <w:t>、上调量</w:t>
      </w:r>
      <w:r>
        <w:rPr>
          <w:rFonts w:ascii="Cambria Math" w:hAnsi="Cambria Math" w:eastAsia="Cambria Math"/>
          <w:b w:val="0"/>
          <w:i/>
          <w:sz w:val="22"/>
        </w:rPr>
        <w:t>Δ</w:t>
      </w:r>
      <w:r>
        <w:rPr>
          <w:rFonts w:ascii="Cambria Math" w:hAnsi="Cambria Math" w:eastAsia="Cambria Math"/>
          <w:b w:val="0"/>
          <w:i/>
          <w:sz w:val="22"/>
          <w:vertAlign w:val="subscript"/>
        </w:rPr>
        <w:t>t</w:t>
      </w:r>
      <w:r>
        <w:rPr>
          <w:rFonts w:ascii="Cambria Math" w:hAnsi="Cambria Math" w:eastAsia="Cambria Math"/>
          <w:b w:val="0"/>
          <w:i/>
          <w:sz w:val="22"/>
          <w:vertAlign w:val="superscript"/>
        </w:rPr>
        <w:t>+</w:t>
      </w:r>
      <w:r>
        <w:rPr>
          <w:rFonts w:ascii="宋体" w:hAnsi="宋体" w:eastAsia="宋体"/>
          <w:b w:val="0"/>
          <w:sz w:val="22"/>
        </w:rPr>
        <w:t>和下调量</w:t>
      </w:r>
      <w:r>
        <w:rPr>
          <w:rFonts w:ascii="Cambria Math" w:hAnsi="Cambria Math" w:eastAsia="Cambria Math"/>
          <w:b w:val="0"/>
          <w:i/>
          <w:sz w:val="22"/>
        </w:rPr>
        <w:t>Δ</w:t>
      </w:r>
      <w:r>
        <w:rPr>
          <w:rFonts w:ascii="Cambria Math" w:hAnsi="Cambria Math" w:eastAsia="Cambria Math"/>
          <w:b w:val="0"/>
          <w:i/>
          <w:sz w:val="22"/>
          <w:vertAlign w:val="subscript"/>
        </w:rPr>
        <w:t>t</w:t>
      </w:r>
      <w:r>
        <w:rPr>
          <w:rFonts w:ascii="Cambria Math" w:hAnsi="Cambria Math" w:eastAsia="Cambria Math"/>
          <w:b w:val="0"/>
          <w:i/>
          <w:sz w:val="22"/>
          <w:vertAlign w:val="superscript"/>
        </w:rPr>
        <w:t>-</w:t>
      </w:r>
      <w:r>
        <w:rPr>
          <w:rFonts w:ascii="宋体" w:hAnsi="宋体" w:eastAsia="宋体"/>
          <w:b w:val="0"/>
          <w:sz w:val="22"/>
        </w:rPr>
        <w:t>。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2"/>
        </w:rPr>
        <w:t>初始计划以计划购电费和紧急购电费之和最小为目标，如式（1）所示：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7371"/>
          </w:tcPr>
          <w:p>
            <w:pPr>
              <w:spacing w:before="60" w:after="60"/>
              <w:jc w:val="center"/>
            </w:pPr>
            <m:oMathPara>
              <m:oMath>
                <m:r>
                  <m:t xml:space="preserve">min </m:t>
                </m:r>
                <m:sSub>
                  <m:e>
                    <m:r>
                      <m:t xml:space="preserve">Z</m:t>
                    </m:r>
                  </m:e>
                  <m:sub>
                    <m:r>
                      <m:t xml:space="preserve">0</m:t>
                    </m:r>
                  </m:sub>
                </m:sSub>
                <m:r>
                  <m:t xml:space="preserve">=</m:t>
                </m:r>
                <m:nary>
                  <m:naryPr>
                    <m:chr m:val="∑"/>
                    <m:limLoc m:val="undOvr"/>
                  </m:naryPr>
                  <m:sub>
                    <m:r>
                      <m:t xml:space="preserve">t=1</m:t>
                    </m:r>
                  </m:sub>
                  <m:sup>
                    <m:r>
                      <m:t xml:space="preserve">144</m:t>
                    </m:r>
                  </m:sup>
                  <m:e>
                    <m:r>
                      <m:t xml:space="preserve">(</m:t>
                    </m:r>
                    <m:sSub>
                      <m:e>
                        <m:r>
                          <m:t xml:space="preserve">π</m:t>
                        </m:r>
                      </m:e>
                      <m:sub>
                        <m:r>
                          <m:t xml:space="preserve">t</m:t>
                        </m:r>
                      </m:sub>
                    </m:sSub>
                    <m:sSup>
                      <m:e>
                        <m:sSub>
                          <m:e>
                            <m:r>
                              <m:t xml:space="preserve">x</m:t>
                            </m:r>
                          </m:e>
                          <m:sub>
                            <m:r>
                              <m:t xml:space="preserve">t</m:t>
                            </m:r>
                          </m:sub>
                        </m:sSub>
                      </m:e>
                      <m:sup>
                        <m:r>
                          <m:t xml:space="preserve">P</m:t>
                        </m:r>
                      </m:sup>
                    </m:sSup>
                    <m:r>
                      <m:t xml:space="preserve">+5</m:t>
                    </m:r>
                    <m:sSub>
                      <m:e>
                        <m:r>
                          <m:t xml:space="preserve">π</m:t>
                        </m:r>
                      </m:e>
                      <m:sub>
                        <m:r>
                          <m:t xml:space="preserve">t</m:t>
                        </m:r>
                      </m:sub>
                    </m:sSub>
                    <m:sSup>
                      <m:e>
                        <m:sSub>
                          <m:e>
                            <m:r>
                              <m:t xml:space="preserve">e</m:t>
                            </m:r>
                          </m:e>
                          <m:sub>
                            <m:r>
                              <m:t xml:space="preserve">t</m:t>
                            </m:r>
                          </m:sub>
                        </m:sSub>
                      </m:e>
                      <m:sup>
                        <m:r>
                          <m:t xml:space="preserve">P</m:t>
                        </m:r>
                      </m:sup>
                    </m:sSup>
                    <m:r>
                      <m:t xml:space="preserve">)</m:t>
                    </m:r>
                  </m:e>
                </m:nary>
              </m:oMath>
            </m:oMathPara>
          </w:p>
        </w:tc>
        <w:tc>
          <w:tcPr>
            <w:tcW w:type="dxa" w:w="1360"/>
          </w:tcPr>
          <w:p>
            <w:pPr>
              <w:jc w:val="righ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(1)</w:t>
            </w:r>
          </w:p>
        </w:tc>
      </w:tr>
    </w:tbl>
    <w:p>
      <w:pPr>
        <w:spacing w:after="120" w:line="324" w:lineRule="auto"/>
      </w:pPr>
      <w:r>
        <w:rPr>
          <w:rFonts w:ascii="宋体" w:hAnsi="宋体" w:eastAsia="宋体"/>
          <w:b w:val="0"/>
          <w:sz w:val="22"/>
        </w:rPr>
        <w:t>式（1）中紧急购电费按计划电价的5倍计，促使初始计划尽可能避免供需缺口。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2"/>
        </w:rPr>
        <w:t>初始计划能量平衡约束保证供电满足负荷和充电需求，如式（2）所示：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7371"/>
          </w:tcPr>
          <w:p>
            <w:pPr>
              <w:spacing w:before="60" w:after="60"/>
              <w:jc w:val="center"/>
            </w:pPr>
            <m:oMathPara>
              <m:oMath>
                <m:sSup>
                  <m:e>
                    <m:sSub>
                      <m:e>
                        <m:r>
                          <m:t xml:space="preserve">x</m:t>
                        </m:r>
                      </m:e>
                      <m:sub>
                        <m:r>
                          <m:t xml:space="preserve">t</m:t>
                        </m:r>
                      </m:sub>
                    </m:sSub>
                  </m:e>
                  <m:sup>
                    <m:r>
                      <m:t xml:space="preserve">P</m:t>
                    </m:r>
                  </m:sup>
                </m:sSup>
                <m:r>
                  <m:t xml:space="preserve">+</m:t>
                </m:r>
                <m:sSup>
                  <m:e>
                    <m:sSub>
                      <m:e>
                        <m:r>
                          <m:t xml:space="preserve">e</m:t>
                        </m:r>
                      </m:e>
                      <m:sub>
                        <m:r>
                          <m:t xml:space="preserve">t</m:t>
                        </m:r>
                      </m:sub>
                    </m:sSub>
                  </m:e>
                  <m:sup>
                    <m:r>
                      <m:t xml:space="preserve">P</m:t>
                    </m:r>
                  </m:sup>
                </m:sSup>
                <m:r>
                  <m:t xml:space="preserve">+</m:t>
                </m:r>
                <m:sSup>
                  <m:e>
                    <m:sSub>
                      <m:e>
                        <m:r>
                          <m:t xml:space="preserve">G</m:t>
                        </m:r>
                      </m:e>
                      <m:sub>
                        <m:r>
                          <m:t xml:space="preserve">t</m:t>
                        </m:r>
                      </m:sub>
                    </m:sSub>
                  </m:e>
                  <m:sup>
                    <m:r>
                      <m:t xml:space="preserve">0</m:t>
                    </m:r>
                  </m:sup>
                </m:sSup>
                <m:r>
                  <m:t xml:space="preserve">Δt+</m:t>
                </m:r>
                <m:sSub>
                  <m:e>
                    <m:r>
                      <m:t xml:space="preserve">d</m:t>
                    </m:r>
                  </m:e>
                  <m:sub>
                    <m:r>
                      <m:t xml:space="preserve">t</m:t>
                    </m:r>
                  </m:sub>
                </m:sSub>
                <m:r>
                  <m:t xml:space="preserve">=</m:t>
                </m:r>
                <m:sSub>
                  <m:e>
                    <m:r>
                      <m:t xml:space="preserve">L</m:t>
                    </m:r>
                  </m:e>
                  <m:sub>
                    <m:r>
                      <m:t xml:space="preserve">t</m:t>
                    </m:r>
                  </m:sub>
                </m:sSub>
                <m:r>
                  <m:t xml:space="preserve">Δt+</m:t>
                </m:r>
                <m:sSub>
                  <m:e>
                    <m:r>
                      <m:t xml:space="preserve">c</m:t>
                    </m:r>
                  </m:e>
                  <m:sub>
                    <m:r>
                      <m:t xml:space="preserve">t</m:t>
                    </m:r>
                  </m:sub>
                </m:sSub>
                <m:r>
                  <m:t xml:space="preserve">+</m:t>
                </m:r>
                <m:sSub>
                  <m:e>
                    <m:r>
                      <m:t xml:space="preserve">s</m:t>
                    </m:r>
                  </m:e>
                  <m:sub>
                    <m:r>
                      <m:t xml:space="preserve">t</m:t>
                    </m:r>
                  </m:sub>
                </m:sSub>
              </m:oMath>
            </m:oMathPara>
          </w:p>
        </w:tc>
        <w:tc>
          <w:tcPr>
            <w:tcW w:type="dxa" w:w="1360"/>
          </w:tcPr>
          <w:p>
            <w:pPr>
              <w:jc w:val="righ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(2)</w:t>
            </w:r>
          </w:p>
        </w:tc>
      </w:tr>
    </w:tbl>
    <w:p>
      <w:pPr>
        <w:spacing w:after="120" w:line="324" w:lineRule="auto"/>
      </w:pPr>
      <w:r>
        <w:rPr>
          <w:rFonts w:ascii="宋体" w:hAnsi="宋体" w:eastAsia="宋体"/>
          <w:b w:val="0"/>
          <w:sz w:val="22"/>
        </w:rPr>
        <w:t>式（2）中</w:t>
      </w:r>
      <w:r>
        <w:rPr>
          <w:rFonts w:ascii="Cambria Math" w:hAnsi="Cambria Math" w:eastAsia="Cambria Math"/>
          <w:b w:val="0"/>
          <w:i/>
          <w:sz w:val="22"/>
        </w:rPr>
        <w:t>G</w:t>
      </w:r>
      <w:r>
        <w:rPr>
          <w:rFonts w:ascii="Cambria Math" w:hAnsi="Cambria Math" w:eastAsia="Cambria Math"/>
          <w:b w:val="0"/>
          <w:i/>
          <w:sz w:val="22"/>
          <w:vertAlign w:val="subscript"/>
        </w:rPr>
        <w:t>t</w:t>
      </w:r>
      <w:r>
        <w:rPr>
          <w:rFonts w:ascii="Cambria Math" w:hAnsi="Cambria Math" w:eastAsia="Cambria Math"/>
          <w:b w:val="0"/>
          <w:i/>
          <w:sz w:val="22"/>
          <w:vertAlign w:val="superscript"/>
        </w:rPr>
        <w:t>0</w:t>
      </w:r>
      <w:r>
        <w:rPr>
          <w:rFonts w:ascii="宋体" w:hAnsi="宋体" w:eastAsia="宋体"/>
          <w:b w:val="0"/>
          <w:sz w:val="22"/>
        </w:rPr>
        <w:t>为0:00预报光伏功率，左侧为购电、光伏和放电来源，右侧为负荷、充电和弃光去向。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2"/>
        </w:rPr>
        <w:t>储能荷电状态递推约束反映充放电效率损失，如式（3）所示：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7371"/>
          </w:tcPr>
          <w:p>
            <w:pPr>
              <w:spacing w:before="60" w:after="60"/>
              <w:jc w:val="center"/>
            </w:pPr>
            <m:oMathPara>
              <m:oMath>
                <m:sSub>
                  <m:e>
                    <m:r>
                      <m:t xml:space="preserve">E</m:t>
                    </m:r>
                  </m:e>
                  <m:sub>
                    <m:r>
                      <m:t xml:space="preserve">t</m:t>
                    </m:r>
                  </m:sub>
                </m:sSub>
                <m:r>
                  <m:t xml:space="preserve">=</m:t>
                </m:r>
                <m:sSub>
                  <m:e>
                    <m:r>
                      <m:t xml:space="preserve">E</m:t>
                    </m:r>
                  </m:e>
                  <m:sub>
                    <m:r>
                      <m:t xml:space="preserve">t-1</m:t>
                    </m:r>
                  </m:sub>
                </m:sSub>
                <m:r>
                  <m:t xml:space="preserve">+η</m:t>
                </m:r>
                <m:sSub>
                  <m:e>
                    <m:r>
                      <m:t xml:space="preserve">c</m:t>
                    </m:r>
                  </m:e>
                  <m:sub>
                    <m:r>
                      <m:t xml:space="preserve">t</m:t>
                    </m:r>
                  </m:sub>
                </m:sSub>
                <m:r>
                  <m:t xml:space="preserve">-</m:t>
                </m:r>
                <m:f>
                  <m:num>
                    <m:sSub>
                      <m:e>
                        <m:r>
                          <m:t xml:space="preserve">d</m:t>
                        </m:r>
                      </m:e>
                      <m:sub>
                        <m:r>
                          <m:t xml:space="preserve">t</m:t>
                        </m:r>
                      </m:sub>
                    </m:sSub>
                  </m:num>
                  <m:den>
                    <m:r>
                      <m:t xml:space="preserve">η</m:t>
                    </m:r>
                  </m:den>
                </m:f>
              </m:oMath>
            </m:oMathPara>
          </w:p>
        </w:tc>
        <w:tc>
          <w:tcPr>
            <w:tcW w:type="dxa" w:w="1360"/>
          </w:tcPr>
          <w:p>
            <w:pPr>
              <w:jc w:val="righ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(3)</w:t>
            </w:r>
          </w:p>
        </w:tc>
      </w:tr>
    </w:tbl>
    <w:p>
      <w:pPr>
        <w:spacing w:after="120" w:line="324" w:lineRule="auto"/>
      </w:pPr>
      <w:r>
        <w:rPr>
          <w:rFonts w:ascii="宋体" w:hAnsi="宋体" w:eastAsia="宋体"/>
          <w:b w:val="0"/>
          <w:sz w:val="22"/>
        </w:rPr>
        <w:t>式（3）保证充电量乘效率、放电量除效率，储能电量在相邻时段连续传递。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2"/>
        </w:rPr>
        <w:t>滚动调整阶段以调整量偏差最小和惩罚费用最小为目标。调整购电量与计划购电量的偏差按正负方向分解，其约束如式（4）所示：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7371"/>
          </w:tcPr>
          <w:p>
            <w:pPr>
              <w:spacing w:before="60" w:after="60"/>
              <w:jc w:val="center"/>
            </w:pPr>
            <m:oMathPara>
              <m:oMath>
                <m:sSup>
                  <m:e>
                    <m:sSub>
                      <m:e>
                        <m:r>
                          <m:t xml:space="preserve">x</m:t>
                        </m:r>
                      </m:e>
                      <m:sub>
                        <m:r>
                          <m:t xml:space="preserve">t</m:t>
                        </m:r>
                      </m:sub>
                    </m:sSub>
                  </m:e>
                  <m:sup>
                    <m:r>
                      <m:t xml:space="preserve">A</m:t>
                    </m:r>
                  </m:sup>
                </m:sSup>
                <m:r>
                  <m:t xml:space="preserve">-</m:t>
                </m:r>
                <m:sSup>
                  <m:e>
                    <m:sSub>
                      <m:e>
                        <m:r>
                          <m:t xml:space="preserve">x</m:t>
                        </m:r>
                      </m:e>
                      <m:sub>
                        <m:r>
                          <m:t xml:space="preserve">t</m:t>
                        </m:r>
                      </m:sub>
                    </m:sSub>
                  </m:e>
                  <m:sup>
                    <m:r>
                      <m:t xml:space="preserve">P</m:t>
                    </m:r>
                  </m:sup>
                </m:sSup>
                <m:r>
                  <m:t xml:space="preserve">=</m:t>
                </m:r>
                <m:sSup>
                  <m:e>
                    <m:r>
                      <m:t xml:space="preserve">Δ</m:t>
                    </m:r>
                  </m:e>
                  <m:sup>
                    <m:sSub>
                      <m:e>
                        <m:r>
                          <m:t xml:space="preserve">t</m:t>
                        </m:r>
                      </m:e>
                      <m:sub>
                        <m:r>
                          <m:t xml:space="preserve">+</m:t>
                        </m:r>
                      </m:sub>
                    </m:sSub>
                  </m:sup>
                </m:sSup>
                <m:r>
                  <m:t xml:space="preserve">-</m:t>
                </m:r>
                <m:sSup>
                  <m:e>
                    <m:r>
                      <m:t xml:space="preserve">Δ</m:t>
                    </m:r>
                  </m:e>
                  <m:sup>
                    <m:sSub>
                      <m:e>
                        <m:r>
                          <m:t xml:space="preserve">t</m:t>
                        </m:r>
                      </m:e>
                      <m:sub>
                        <m:r>
                          <m:t xml:space="preserve">-</m:t>
                        </m:r>
                      </m:sub>
                    </m:sSub>
                  </m:sup>
                </m:sSup>
                <m:r>
                  <m:t xml:space="preserve">，</m:t>
                </m:r>
                <m:sSup>
                  <m:e>
                    <m:r>
                      <m:t xml:space="preserve">Δ</m:t>
                    </m:r>
                  </m:e>
                  <m:sup>
                    <m:sSub>
                      <m:e>
                        <m:r>
                          <m:t xml:space="preserve">t</m:t>
                        </m:r>
                      </m:e>
                      <m:sub>
                        <m:r>
                          <m:t xml:space="preserve">+</m:t>
                        </m:r>
                      </m:sub>
                    </m:sSub>
                  </m:sup>
                </m:sSup>
                <m:r>
                  <m:t xml:space="preserve">,</m:t>
                </m:r>
                <m:sSup>
                  <m:e>
                    <m:r>
                      <m:t xml:space="preserve">Δ</m:t>
                    </m:r>
                  </m:e>
                  <m:sup>
                    <m:sSub>
                      <m:e>
                        <m:r>
                          <m:t xml:space="preserve">t</m:t>
                        </m:r>
                      </m:e>
                      <m:sub>
                        <m:r>
                          <m:t xml:space="preserve">-</m:t>
                        </m:r>
                      </m:sub>
                    </m:sSub>
                  </m:sup>
                </m:sSup>
                <m:r>
                  <m:t xml:space="preserve">≥0</m:t>
                </m:r>
              </m:oMath>
            </m:oMathPara>
          </w:p>
        </w:tc>
        <w:tc>
          <w:tcPr>
            <w:tcW w:type="dxa" w:w="1360"/>
          </w:tcPr>
          <w:p>
            <w:pPr>
              <w:jc w:val="righ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(4)</w:t>
            </w:r>
          </w:p>
        </w:tc>
      </w:tr>
    </w:tbl>
    <w:p>
      <w:pPr>
        <w:spacing w:after="120" w:line="324" w:lineRule="auto"/>
      </w:pPr>
      <w:r>
        <w:rPr>
          <w:rFonts w:ascii="宋体" w:hAnsi="宋体" w:eastAsia="宋体"/>
          <w:b w:val="0"/>
          <w:sz w:val="22"/>
        </w:rPr>
        <w:t>式（4）中上调量</w:t>
      </w:r>
      <w:r>
        <w:rPr>
          <w:rFonts w:ascii="Cambria Math" w:hAnsi="Cambria Math" w:eastAsia="Cambria Math"/>
          <w:b w:val="0"/>
          <w:i/>
          <w:sz w:val="22"/>
        </w:rPr>
        <w:t>Δ</w:t>
      </w:r>
      <w:r>
        <w:rPr>
          <w:rFonts w:ascii="Cambria Math" w:hAnsi="Cambria Math" w:eastAsia="Cambria Math"/>
          <w:b w:val="0"/>
          <w:i/>
          <w:sz w:val="22"/>
          <w:vertAlign w:val="subscript"/>
        </w:rPr>
        <w:t>t</w:t>
      </w:r>
      <w:r>
        <w:rPr>
          <w:rFonts w:ascii="Cambria Math" w:hAnsi="Cambria Math" w:eastAsia="Cambria Math"/>
          <w:b w:val="0"/>
          <w:i/>
          <w:sz w:val="22"/>
          <w:vertAlign w:val="superscript"/>
        </w:rPr>
        <w:t>+</w:t>
      </w:r>
      <w:r>
        <w:rPr>
          <w:rFonts w:ascii="宋体" w:hAnsi="宋体" w:eastAsia="宋体"/>
          <w:b w:val="0"/>
          <w:sz w:val="22"/>
        </w:rPr>
        <w:t>按</w:t>
      </w:r>
      <w:r>
        <w:rPr>
          <w:rFonts w:ascii="Cambria Math" w:hAnsi="Cambria Math" w:eastAsia="Cambria Math"/>
          <w:b w:val="0"/>
          <w:i/>
          <w:sz w:val="22"/>
        </w:rPr>
        <w:t>1.5</w:t>
      </w:r>
      <w:r>
        <w:rPr>
          <w:rFonts w:ascii="Cambria Math" w:hAnsi="Cambria Math" w:eastAsia="Cambria Math"/>
          <w:b w:val="0"/>
          <w:i/>
          <w:sz w:val="22"/>
        </w:rPr>
        <w:t>π</w:t>
      </w:r>
      <w:r>
        <w:rPr>
          <w:rFonts w:ascii="Cambria Math" w:hAnsi="Cambria Math" w:eastAsia="Cambria Math"/>
          <w:b w:val="0"/>
          <w:i/>
          <w:sz w:val="22"/>
          <w:vertAlign w:val="subscript"/>
        </w:rPr>
        <w:t>t</w:t>
      </w:r>
      <w:r>
        <w:rPr>
          <w:rFonts w:ascii="宋体" w:hAnsi="宋体" w:eastAsia="宋体"/>
          <w:b w:val="0"/>
          <w:sz w:val="22"/>
        </w:rPr>
        <w:t>计费，下调量</w:t>
      </w:r>
      <w:r>
        <w:rPr>
          <w:rFonts w:ascii="Cambria Math" w:hAnsi="Cambria Math" w:eastAsia="Cambria Math"/>
          <w:b w:val="0"/>
          <w:i/>
          <w:sz w:val="22"/>
        </w:rPr>
        <w:t>Δ</w:t>
      </w:r>
      <w:r>
        <w:rPr>
          <w:rFonts w:ascii="Cambria Math" w:hAnsi="Cambria Math" w:eastAsia="Cambria Math"/>
          <w:b w:val="0"/>
          <w:i/>
          <w:sz w:val="22"/>
          <w:vertAlign w:val="subscript"/>
        </w:rPr>
        <w:t>t</w:t>
      </w:r>
      <w:r>
        <w:rPr>
          <w:rFonts w:ascii="Cambria Math" w:hAnsi="Cambria Math" w:eastAsia="Cambria Math"/>
          <w:b w:val="0"/>
          <w:i/>
          <w:sz w:val="22"/>
          <w:vertAlign w:val="superscript"/>
        </w:rPr>
        <w:t>-</w:t>
      </w:r>
      <w:r>
        <w:rPr>
          <w:rFonts w:ascii="宋体" w:hAnsi="宋体" w:eastAsia="宋体"/>
          <w:b w:val="0"/>
          <w:sz w:val="22"/>
        </w:rPr>
        <w:t>按</w:t>
      </w:r>
      <w:r>
        <w:rPr>
          <w:rFonts w:ascii="Cambria Math" w:hAnsi="Cambria Math" w:eastAsia="Cambria Math"/>
          <w:b w:val="0"/>
          <w:i/>
          <w:sz w:val="22"/>
        </w:rPr>
        <w:t>0.5</w:t>
      </w:r>
      <w:r>
        <w:rPr>
          <w:rFonts w:ascii="Cambria Math" w:hAnsi="Cambria Math" w:eastAsia="Cambria Math"/>
          <w:b w:val="0"/>
          <w:i/>
          <w:sz w:val="22"/>
        </w:rPr>
        <w:t>π</w:t>
      </w:r>
      <w:r>
        <w:rPr>
          <w:rFonts w:ascii="Cambria Math" w:hAnsi="Cambria Math" w:eastAsia="Cambria Math"/>
          <w:b w:val="0"/>
          <w:i/>
          <w:sz w:val="22"/>
          <w:vertAlign w:val="subscript"/>
        </w:rPr>
        <w:t>t</w:t>
      </w:r>
      <w:r>
        <w:rPr>
          <w:rFonts w:ascii="宋体" w:hAnsi="宋体" w:eastAsia="宋体"/>
          <w:b w:val="0"/>
          <w:sz w:val="22"/>
        </w:rPr>
        <w:t>计费；调整阶段只优化发布时刻之后尚未执行的时段。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2"/>
        </w:rPr>
        <w:t>最终按实际光伏结算紧急购电，如式（5）所示：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7371"/>
          </w:tcPr>
          <w:p>
            <w:pPr>
              <w:spacing w:before="60" w:after="60"/>
              <w:jc w:val="center"/>
            </w:pPr>
            <m:oMathPara>
              <m:oMath>
                <m:sSup>
                  <m:e>
                    <m:sSub>
                      <m:e>
                        <m:r>
                          <m:t xml:space="preserve">e</m:t>
                        </m:r>
                      </m:e>
                      <m:sub>
                        <m:r>
                          <m:t xml:space="preserve">t</m:t>
                        </m:r>
                      </m:sub>
                    </m:sSub>
                  </m:e>
                  <m:sup>
                    <m:r>
                      <m:t xml:space="preserve">F</m:t>
                    </m:r>
                  </m:sup>
                </m:sSup>
                <m:r>
                  <m:t xml:space="preserve">=max(0,</m:t>
                </m:r>
                <m:sSub>
                  <m:e>
                    <m:r>
                      <m:t xml:space="preserve">L</m:t>
                    </m:r>
                  </m:e>
                  <m:sub>
                    <m:r>
                      <m:t xml:space="preserve">t</m:t>
                    </m:r>
                  </m:sub>
                </m:sSub>
                <m:r>
                  <m:t xml:space="preserve">Δt+</m:t>
                </m:r>
                <m:sSup>
                  <m:e>
                    <m:sSub>
                      <m:e>
                        <m:r>
                          <m:t xml:space="preserve">c</m:t>
                        </m:r>
                      </m:e>
                      <m:sub>
                        <m:r>
                          <m:t xml:space="preserve">t</m:t>
                        </m:r>
                      </m:sub>
                    </m:sSub>
                  </m:e>
                  <m:sup>
                    <m:r>
                      <m:t xml:space="preserve">F</m:t>
                    </m:r>
                  </m:sup>
                </m:sSup>
                <m:r>
                  <m:t xml:space="preserve">-</m:t>
                </m:r>
                <m:sSup>
                  <m:e>
                    <m:sSub>
                      <m:e>
                        <m:r>
                          <m:t xml:space="preserve">x</m:t>
                        </m:r>
                      </m:e>
                      <m:sub>
                        <m:r>
                          <m:t xml:space="preserve">t</m:t>
                        </m:r>
                      </m:sub>
                    </m:sSub>
                  </m:e>
                  <m:sup>
                    <m:r>
                      <m:t xml:space="preserve">F</m:t>
                    </m:r>
                  </m:sup>
                </m:sSup>
                <m:r>
                  <m:t xml:space="preserve">-</m:t>
                </m:r>
                <m:sSub>
                  <m:e>
                    <m:r>
                      <m:t xml:space="preserve">G</m:t>
                    </m:r>
                  </m:e>
                  <m:sub>
                    <m:r>
                      <m:t xml:space="preserve">t</m:t>
                    </m:r>
                  </m:sub>
                </m:sSub>
                <m:r>
                  <m:t xml:space="preserve">Δt-</m:t>
                </m:r>
                <m:sSup>
                  <m:e>
                    <m:sSub>
                      <m:e>
                        <m:r>
                          <m:t xml:space="preserve">d</m:t>
                        </m:r>
                      </m:e>
                      <m:sub>
                        <m:r>
                          <m:t xml:space="preserve">t</m:t>
                        </m:r>
                      </m:sub>
                    </m:sSub>
                  </m:e>
                  <m:sup>
                    <m:r>
                      <m:t xml:space="preserve">F</m:t>
                    </m:r>
                  </m:sup>
                </m:sSup>
                <m:r>
                  <m:t xml:space="preserve">)</m:t>
                </m:r>
              </m:oMath>
            </m:oMathPara>
          </w:p>
        </w:tc>
        <w:tc>
          <w:tcPr>
            <w:tcW w:type="dxa" w:w="1360"/>
          </w:tcPr>
          <w:p>
            <w:pPr>
              <w:jc w:val="righ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(5)</w:t>
            </w:r>
          </w:p>
        </w:tc>
      </w:tr>
    </w:tbl>
    <w:p>
      <w:pPr>
        <w:spacing w:after="120" w:line="324" w:lineRule="auto"/>
      </w:pPr>
      <w:r>
        <w:rPr>
          <w:rFonts w:ascii="宋体" w:hAnsi="宋体" w:eastAsia="宋体"/>
          <w:b w:val="0"/>
          <w:sz w:val="22"/>
        </w:rPr>
        <w:t>式（5）表示最终计划购电、光伏和放电仍不足时，由紧急购电补足实际缺口。此外，模型约束</w:t>
      </w:r>
      <w:r>
        <w:rPr>
          <w:rFonts w:ascii="Cambria Math" w:hAnsi="Cambria Math" w:eastAsia="Cambria Math"/>
          <w:b w:val="0"/>
          <w:i/>
          <w:sz w:val="22"/>
        </w:rPr>
        <w:t>1200</w:t>
      </w:r>
      <w:r>
        <w:rPr>
          <w:rFonts w:ascii="Cambria Math" w:hAnsi="Cambria Math" w:eastAsia="Cambria Math"/>
          <w:b w:val="0"/>
          <w:i/>
          <w:sz w:val="22"/>
        </w:rPr>
        <w:t>≤</w:t>
      </w:r>
      <w:r>
        <w:rPr>
          <w:rFonts w:ascii="Cambria Math" w:hAnsi="Cambria Math" w:eastAsia="Cambria Math"/>
          <w:b w:val="0"/>
          <w:i/>
          <w:sz w:val="22"/>
        </w:rPr>
        <w:t xml:space="preserve"> E</w:t>
      </w:r>
      <w:r>
        <w:rPr>
          <w:rFonts w:ascii="Cambria Math" w:hAnsi="Cambria Math" w:eastAsia="Cambria Math"/>
          <w:b w:val="0"/>
          <w:i/>
          <w:sz w:val="22"/>
          <w:vertAlign w:val="subscript"/>
        </w:rPr>
        <w:t>t</w:t>
      </w:r>
      <w:r>
        <w:rPr>
          <w:rFonts w:ascii="Cambria Math" w:hAnsi="Cambria Math" w:eastAsia="Cambria Math"/>
          <w:b w:val="0"/>
          <w:i/>
          <w:sz w:val="22"/>
        </w:rPr>
        <w:t>≤</w:t>
      </w:r>
      <w:r>
        <w:rPr>
          <w:rFonts w:ascii="Cambria Math" w:hAnsi="Cambria Math" w:eastAsia="Cambria Math"/>
          <w:b w:val="0"/>
          <w:i/>
          <w:sz w:val="22"/>
        </w:rPr>
        <w:t>10800</w:t>
      </w:r>
      <w:r>
        <w:rPr>
          <w:rFonts w:ascii="宋体" w:hAnsi="宋体" w:eastAsia="宋体"/>
          <w:b w:val="0"/>
          <w:sz w:val="22"/>
        </w:rPr>
        <w:t>、</w:t>
      </w:r>
      <w:r>
        <w:rPr>
          <w:rFonts w:ascii="Cambria Math" w:hAnsi="Cambria Math" w:eastAsia="Cambria Math"/>
          <w:b w:val="0"/>
          <w:i/>
          <w:sz w:val="22"/>
        </w:rPr>
        <w:t>0</w:t>
      </w:r>
      <w:r>
        <w:rPr>
          <w:rFonts w:ascii="Cambria Math" w:hAnsi="Cambria Math" w:eastAsia="Cambria Math"/>
          <w:b w:val="0"/>
          <w:i/>
          <w:sz w:val="22"/>
        </w:rPr>
        <w:t>≤</w:t>
      </w:r>
      <w:r>
        <w:rPr>
          <w:rFonts w:ascii="Cambria Math" w:hAnsi="Cambria Math" w:eastAsia="Cambria Math"/>
          <w:b w:val="0"/>
          <w:i/>
          <w:sz w:val="22"/>
        </w:rPr>
        <w:t xml:space="preserve"> c</w:t>
      </w:r>
      <w:r>
        <w:rPr>
          <w:rFonts w:ascii="Cambria Math" w:hAnsi="Cambria Math" w:eastAsia="Cambria Math"/>
          <w:b w:val="0"/>
          <w:i/>
          <w:sz w:val="22"/>
          <w:vertAlign w:val="subscript"/>
        </w:rPr>
        <w:t>t</w:t>
      </w:r>
      <w:r>
        <w:rPr>
          <w:rFonts w:ascii="Cambria Math" w:hAnsi="Cambria Math" w:eastAsia="Cambria Math"/>
          <w:b w:val="0"/>
          <w:i/>
          <w:sz w:val="22"/>
        </w:rPr>
        <w:t>,d</w:t>
      </w:r>
      <w:r>
        <w:rPr>
          <w:rFonts w:ascii="Cambria Math" w:hAnsi="Cambria Math" w:eastAsia="Cambria Math"/>
          <w:b w:val="0"/>
          <w:i/>
          <w:sz w:val="22"/>
          <w:vertAlign w:val="subscript"/>
        </w:rPr>
        <w:t>t</w:t>
      </w:r>
      <w:r>
        <w:rPr>
          <w:rFonts w:ascii="Cambria Math" w:hAnsi="Cambria Math" w:eastAsia="Cambria Math"/>
          <w:b w:val="0"/>
          <w:i/>
          <w:sz w:val="22"/>
        </w:rPr>
        <w:t>≤</w:t>
      </w:r>
      <w:r>
        <w:rPr>
          <w:rFonts w:ascii="Cambria Math" w:hAnsi="Cambria Math" w:eastAsia="Cambria Math"/>
          <w:b w:val="0"/>
          <w:i/>
          <w:sz w:val="22"/>
        </w:rPr>
        <w:t>833.333333</w:t>
      </w:r>
      <w:r>
        <w:rPr>
          <w:rFonts w:ascii="宋体" w:hAnsi="宋体" w:eastAsia="宋体"/>
          <w:b w:val="0"/>
          <w:sz w:val="22"/>
        </w:rPr>
        <w:t>kWh，并利用</w:t>
      </w:r>
      <w:r>
        <w:rPr>
          <w:rFonts w:ascii="Cambria Math" w:hAnsi="Cambria Math" w:eastAsia="Cambria Math"/>
          <w:b w:val="0"/>
          <w:i/>
          <w:sz w:val="22"/>
        </w:rPr>
        <w:t>z</w:t>
      </w:r>
      <w:r>
        <w:rPr>
          <w:rFonts w:ascii="Cambria Math" w:hAnsi="Cambria Math" w:eastAsia="Cambria Math"/>
          <w:b w:val="0"/>
          <w:i/>
          <w:sz w:val="22"/>
          <w:vertAlign w:val="subscript"/>
        </w:rPr>
        <w:t>t</w:t>
      </w:r>
      <w:r>
        <w:rPr>
          <w:rFonts w:ascii="Cambria Math" w:hAnsi="Cambria Math" w:eastAsia="Cambria Math"/>
          <w:b w:val="0"/>
          <w:i/>
          <w:sz w:val="22"/>
        </w:rPr>
        <w:t>∈</w:t>
      </w:r>
      <w:r>
        <w:rPr>
          <w:rFonts w:ascii="Cambria Math" w:hAnsi="Cambria Math" w:eastAsia="Cambria Math"/>
          <w:b w:val="0"/>
          <w:i/>
          <w:sz w:val="22"/>
        </w:rPr>
      </w:r>
      <w:r>
        <w:rPr>
          <w:rFonts w:ascii="Cambria Math" w:hAnsi="Cambria Math" w:eastAsia="Cambria Math"/>
          <w:b w:val="0"/>
          <w:i/>
          <w:sz w:val="22"/>
        </w:rPr>
        <w:t>{0,1</w:t>
      </w:r>
      <w:r>
        <w:rPr>
          <w:rFonts w:ascii="Cambria Math" w:hAnsi="Cambria Math" w:eastAsia="Cambria Math"/>
          <w:b w:val="0"/>
          <w:i/>
          <w:sz w:val="22"/>
        </w:rPr>
      </w:r>
      <w:r>
        <w:rPr>
          <w:rFonts w:ascii="Cambria Math" w:hAnsi="Cambria Math" w:eastAsia="Cambria Math"/>
          <w:b w:val="0"/>
          <w:i/>
          <w:sz w:val="22"/>
        </w:rPr>
        <w:t>}</w:t>
      </w:r>
      <w:r>
        <w:rPr>
          <w:rFonts w:ascii="宋体" w:hAnsi="宋体" w:eastAsia="宋体"/>
          <w:b w:val="0"/>
          <w:sz w:val="22"/>
        </w:rPr>
        <w:t>保证同一时段不充放电并存。</w:t>
      </w:r>
    </w:p>
    <w:p>
      <w:pPr>
        <w:spacing w:before="200" w:after="120"/>
      </w:pPr>
      <w:r>
        <w:rPr>
          <w:rFonts w:ascii="黑体" w:hAnsi="黑体" w:eastAsia="黑体"/>
          <w:b/>
          <w:sz w:val="30"/>
        </w:rPr>
        <w:t>7.3 模型求解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2"/>
        </w:rPr>
        <w:t>模型对每天分别调用SciPy HiGHS求解初始计划和后续调整MILP，最终按实际光伏结算。输出期汇总结果如表1所示。</w:t>
      </w:r>
    </w:p>
    <w:p>
      <w:pPr>
        <w:spacing w:before="120" w:after="60"/>
        <w:jc w:val="center"/>
      </w:pPr>
      <w:r>
        <w:rPr>
          <w:rFonts w:ascii="宋体" w:hAnsi="宋体" w:eastAsia="宋体"/>
          <w:b/>
          <w:sz w:val="22"/>
        </w:rPr>
        <w:t>表1 输出期汇总结果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指标</w:t>
            </w:r>
          </w:p>
        </w:tc>
        <w:tc>
          <w:tcPr>
            <w:tcW w:type="dxa" w:w="3022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数值</w:t>
            </w:r>
          </w:p>
        </w:tc>
        <w:tc>
          <w:tcPr>
            <w:tcW w:type="dxa" w:w="3022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单位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计划购电量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20385219.036158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kWh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调整购电量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20860687.288213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kWh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紧急购电量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835168.140046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kWh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计划购电费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12570533.913786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元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调整费用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434755.752375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元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紧急购电费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3604664.594559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元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总费用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16609954.26072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元</w:t>
            </w:r>
          </w:p>
        </w:tc>
      </w:tr>
    </w:tbl>
    <w:p>
      <w:pPr>
        <w:spacing w:after="120" w:line="324" w:lineRule="auto"/>
      </w:pPr>
      <w:r>
        <w:rPr>
          <w:rFonts w:ascii="宋体" w:hAnsi="宋体" w:eastAsia="宋体"/>
          <w:b w:val="0"/>
          <w:sz w:val="22"/>
        </w:rPr>
        <w:t>四个指定日期的计划购电和最终购电结果如表2所示。</w:t>
      </w:r>
    </w:p>
    <w:p>
      <w:pPr>
        <w:spacing w:before="120" w:after="60"/>
        <w:jc w:val="center"/>
      </w:pPr>
      <w:r>
        <w:rPr>
          <w:rFonts w:ascii="宋体" w:hAnsi="宋体" w:eastAsia="宋体"/>
          <w:b/>
          <w:sz w:val="22"/>
        </w:rPr>
        <w:t>表2 指定日期计划购电量与最终购电量</w:t>
      </w:r>
    </w:p>
    <w:p>
      <w:pPr>
        <w:spacing w:after="120" w:line="324" w:lineRule="auto"/>
      </w:pPr>
      <w:r>
        <w:rPr>
          <w:rFonts w:ascii="宋体" w:hAnsi="宋体" w:eastAsia="宋体"/>
          <w:b/>
          <w:sz w:val="22"/>
        </w:rPr>
        <w:t>2025年3月20号计划购电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时间段</w:t>
            </w:r>
          </w:p>
        </w:tc>
        <w:tc>
          <w:tcPr>
            <w:tcW w:type="dxa" w:w="4533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购电量(kWh)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10:00-10:10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12:00-12:10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769.356383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14:00-14:10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16:00-16:10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817.306117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18:00-18:10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697.997283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20:00-20:10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全天计划购电量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67445.614047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全天计划购电费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41663.254662</w:t>
            </w:r>
          </w:p>
        </w:tc>
      </w:tr>
    </w:tbl>
    <w:p>
      <w:pPr>
        <w:spacing w:after="120" w:line="324" w:lineRule="auto"/>
      </w:pPr>
      <w:r>
        <w:rPr>
          <w:rFonts w:ascii="宋体" w:hAnsi="宋体" w:eastAsia="宋体"/>
          <w:b/>
          <w:sz w:val="22"/>
        </w:rPr>
        <w:t>2025年3月20号最终购电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时间段</w:t>
            </w:r>
          </w:p>
        </w:tc>
        <w:tc>
          <w:tcPr>
            <w:tcW w:type="dxa" w:w="4533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购电量(kWh)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10:00-10:10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12:00-12:10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769.356383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14:00-14:10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16:00-16:10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817.306117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18:00-18:10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697.997283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20:00-20:10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全天最终购电量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69340.337443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全天总费用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57118.274554</w:t>
            </w:r>
          </w:p>
        </w:tc>
      </w:tr>
    </w:tbl>
    <w:p>
      <w:pPr>
        <w:spacing w:after="120" w:line="324" w:lineRule="auto"/>
      </w:pPr>
      <w:r>
        <w:rPr>
          <w:rFonts w:ascii="宋体" w:hAnsi="宋体" w:eastAsia="宋体"/>
          <w:b/>
          <w:sz w:val="22"/>
        </w:rPr>
        <w:t>2025年6月21号计划购电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时间段</w:t>
            </w:r>
          </w:p>
        </w:tc>
        <w:tc>
          <w:tcPr>
            <w:tcW w:type="dxa" w:w="4533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购电量(kWh)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10:00-10:10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12:00-12:10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14:00-14:10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16:00-16:10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255.225433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18:00-18:10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20:00-20:10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全天计划购电量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33899.991717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全天计划购电费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19522.167056</w:t>
            </w:r>
          </w:p>
        </w:tc>
      </w:tr>
    </w:tbl>
    <w:p>
      <w:pPr>
        <w:spacing w:after="120" w:line="324" w:lineRule="auto"/>
      </w:pPr>
      <w:r>
        <w:rPr>
          <w:rFonts w:ascii="宋体" w:hAnsi="宋体" w:eastAsia="宋体"/>
          <w:b/>
          <w:sz w:val="22"/>
        </w:rPr>
        <w:t>2025年6月21号最终购电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时间段</w:t>
            </w:r>
          </w:p>
        </w:tc>
        <w:tc>
          <w:tcPr>
            <w:tcW w:type="dxa" w:w="4533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购电量(kWh)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10:00-10:10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12:00-12:10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143.893733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14:00-14:10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16:00-16:10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255.225433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18:00-18:10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20:00-20:10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全天最终购电量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34542.158117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全天总费用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23870.529651</w:t>
            </w:r>
          </w:p>
        </w:tc>
      </w:tr>
    </w:tbl>
    <w:p>
      <w:pPr>
        <w:spacing w:after="120" w:line="324" w:lineRule="auto"/>
      </w:pPr>
      <w:r>
        <w:rPr>
          <w:rFonts w:ascii="宋体" w:hAnsi="宋体" w:eastAsia="宋体"/>
          <w:b/>
          <w:sz w:val="22"/>
        </w:rPr>
        <w:t>2025年9月23号计划购电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时间段</w:t>
            </w:r>
          </w:p>
        </w:tc>
        <w:tc>
          <w:tcPr>
            <w:tcW w:type="dxa" w:w="4533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购电量(kWh)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10:00-10:10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12:00-12:10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501.294983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14:00-14:10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16:00-16:10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902.79695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18:00-18:10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764.32985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20:00-20:10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全天计划购电量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68149.93811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全天计划购电费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43341.147666</w:t>
            </w:r>
          </w:p>
        </w:tc>
      </w:tr>
    </w:tbl>
    <w:p>
      <w:pPr>
        <w:spacing w:after="120" w:line="324" w:lineRule="auto"/>
      </w:pPr>
      <w:r>
        <w:rPr>
          <w:rFonts w:ascii="宋体" w:hAnsi="宋体" w:eastAsia="宋体"/>
          <w:b/>
          <w:sz w:val="22"/>
        </w:rPr>
        <w:t>2025年9月23号最终购电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时间段</w:t>
            </w:r>
          </w:p>
        </w:tc>
        <w:tc>
          <w:tcPr>
            <w:tcW w:type="dxa" w:w="4533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购电量(kWh)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10:00-10:10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12:00-12:10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501.294983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14:00-14:10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16:00-16:10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902.79695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18:00-18:10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764.32985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20:00-20:10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全天最终购电量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68149.93811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全天总费用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57283.972929</w:t>
            </w:r>
          </w:p>
        </w:tc>
      </w:tr>
    </w:tbl>
    <w:p>
      <w:pPr>
        <w:spacing w:after="120" w:line="324" w:lineRule="auto"/>
      </w:pPr>
      <w:r>
        <w:rPr>
          <w:rFonts w:ascii="宋体" w:hAnsi="宋体" w:eastAsia="宋体"/>
          <w:b/>
          <w:sz w:val="22"/>
        </w:rPr>
        <w:t>2025年12月21号计划购电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时间段</w:t>
            </w:r>
          </w:p>
        </w:tc>
        <w:tc>
          <w:tcPr>
            <w:tcW w:type="dxa" w:w="4533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购电量(kWh)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10:00-10:10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12:00-12:10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962.08695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14:00-14:10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16:00-16:10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1001.224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18:00-18:10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715.41445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20:00-20:10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全天计划购电量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93776.07119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全天计划购电费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59565.767033</w:t>
            </w:r>
          </w:p>
        </w:tc>
      </w:tr>
    </w:tbl>
    <w:p>
      <w:pPr>
        <w:spacing w:after="120" w:line="324" w:lineRule="auto"/>
      </w:pPr>
      <w:r>
        <w:rPr>
          <w:rFonts w:ascii="宋体" w:hAnsi="宋体" w:eastAsia="宋体"/>
          <w:b/>
          <w:sz w:val="22"/>
        </w:rPr>
        <w:t>2025年12月21号最终购电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时间段</w:t>
            </w:r>
          </w:p>
        </w:tc>
        <w:tc>
          <w:tcPr>
            <w:tcW w:type="dxa" w:w="4533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购电量(kWh)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10:00-10:10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12:00-12:10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1029.411833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14:00-14:10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16:00-16:10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1001.224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18:00-18:10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715.41445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20:00-20:10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全天最终购电量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94583.898309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全天总费用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71580.434387</w:t>
            </w:r>
          </w:p>
        </w:tc>
      </w:tr>
    </w:tbl>
    <w:p>
      <w:pPr>
        <w:spacing w:after="120" w:line="324" w:lineRule="auto"/>
      </w:pPr>
      <w:r>
        <w:rPr>
          <w:rFonts w:ascii="宋体" w:hAnsi="宋体" w:eastAsia="宋体"/>
          <w:b w:val="0"/>
          <w:sz w:val="22"/>
        </w:rPr>
        <w:t>表2表明滚动调整主要体现为上调购电量，个别日期如9月23号未发生调整，说明预报更新并非每天都会改变原计划。储能调度结果如表3所示。</w:t>
      </w:r>
    </w:p>
    <w:p>
      <w:pPr>
        <w:spacing w:before="120" w:after="60"/>
        <w:jc w:val="center"/>
      </w:pPr>
      <w:r>
        <w:rPr>
          <w:rFonts w:ascii="宋体" w:hAnsi="宋体" w:eastAsia="宋体"/>
          <w:b/>
          <w:sz w:val="22"/>
        </w:rPr>
        <w:t>表3 指定日期充放电量及首末储电量</w:t>
      </w:r>
    </w:p>
    <w:p>
      <w:pPr>
        <w:spacing w:after="120" w:line="324" w:lineRule="auto"/>
      </w:pPr>
      <w:r>
        <w:rPr>
          <w:rFonts w:ascii="宋体" w:hAnsi="宋体" w:eastAsia="宋体"/>
          <w:b/>
          <w:sz w:val="22"/>
        </w:rPr>
        <w:t>2025年3月20号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时间段</w:t>
            </w:r>
          </w:p>
        </w:tc>
        <w:tc>
          <w:tcPr>
            <w:tcW w:type="dxa" w:w="3022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充电量(kWh)</w:t>
            </w:r>
          </w:p>
        </w:tc>
        <w:tc>
          <w:tcPr>
            <w:tcW w:type="dxa" w:w="3022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放电量(kWh)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0:00-4:00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4500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4:00-8:00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833.333333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7426.613433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8:00-12:00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1858.08306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1213.386567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12:00-16:00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9734.769083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868.543137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16:00-20:00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146.09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5709.783517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20:00-24:00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5333.333333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2930.216483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0:00储电量(kWh)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6000.0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24:00储电量(kWh)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6000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</w:r>
          </w:p>
        </w:tc>
      </w:tr>
    </w:tbl>
    <w:p>
      <w:pPr>
        <w:spacing w:after="120" w:line="324" w:lineRule="auto"/>
      </w:pPr>
      <w:r>
        <w:rPr>
          <w:rFonts w:ascii="宋体" w:hAnsi="宋体" w:eastAsia="宋体"/>
          <w:b/>
          <w:sz w:val="22"/>
        </w:rPr>
        <w:t>2025年6月21号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时间段</w:t>
            </w:r>
          </w:p>
        </w:tc>
        <w:tc>
          <w:tcPr>
            <w:tcW w:type="dxa" w:w="3022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充电量(kWh)</w:t>
            </w:r>
          </w:p>
        </w:tc>
        <w:tc>
          <w:tcPr>
            <w:tcW w:type="dxa" w:w="3022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放电量(kWh)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0:00-4:00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761.440917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4:00-8:00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3558.559083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8:00-12:00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2716.291333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12:00-16:00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7918.887833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16:00-20:00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31.4875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6154.100617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20:00-24:00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5333.333333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2485.899383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0:00储电量(kWh)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6000.0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24:00储电量(kWh)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6000.0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</w:r>
          </w:p>
        </w:tc>
      </w:tr>
    </w:tbl>
    <w:p>
      <w:pPr>
        <w:spacing w:after="120" w:line="324" w:lineRule="auto"/>
      </w:pPr>
      <w:r>
        <w:rPr>
          <w:rFonts w:ascii="宋体" w:hAnsi="宋体" w:eastAsia="宋体"/>
          <w:b/>
          <w:sz w:val="22"/>
        </w:rPr>
        <w:t>2025年9月23号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时间段</w:t>
            </w:r>
          </w:p>
        </w:tc>
        <w:tc>
          <w:tcPr>
            <w:tcW w:type="dxa" w:w="3022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充电量(kWh)</w:t>
            </w:r>
          </w:p>
        </w:tc>
        <w:tc>
          <w:tcPr>
            <w:tcW w:type="dxa" w:w="3022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放电量(kWh)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0:00-4:00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4500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4:00-8:00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833.333333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6399.833182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8:00-12:00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3907.725033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780.046617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12:00-16:00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6415.392024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1202.573067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16:00-20:00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25.590183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5602.909067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20:00-24:00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5333.333333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3037.090933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0:00储电量(kWh)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6000.0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24:00储电量(kWh)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6000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</w:r>
          </w:p>
        </w:tc>
      </w:tr>
    </w:tbl>
    <w:p>
      <w:pPr>
        <w:spacing w:after="120" w:line="324" w:lineRule="auto"/>
      </w:pPr>
      <w:r>
        <w:rPr>
          <w:rFonts w:ascii="宋体" w:hAnsi="宋体" w:eastAsia="宋体"/>
          <w:b/>
          <w:sz w:val="22"/>
        </w:rPr>
        <w:t>2025年12月21号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时间段</w:t>
            </w:r>
          </w:p>
        </w:tc>
        <w:tc>
          <w:tcPr>
            <w:tcW w:type="dxa" w:w="3022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充电量(kWh)</w:t>
            </w:r>
          </w:p>
        </w:tc>
        <w:tc>
          <w:tcPr>
            <w:tcW w:type="dxa" w:w="3022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放电量(kWh)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0:00-4:00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4500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4:00-8:00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1665.683983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1775.416698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8:00-12:00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5833.333333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7143.381567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12:00-16:00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8312.889409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3213.846183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16:00-20:00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5797.474233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20:00-24:00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5333.333333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2842.525767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0:00储电量(kWh)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6000.0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24:00储电量(kWh)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6000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</w:r>
          </w:p>
        </w:tc>
      </w:tr>
    </w:tbl>
    <w:p>
      <w:pPr>
        <w:spacing w:after="120" w:line="324" w:lineRule="auto"/>
      </w:pPr>
      <w:r>
        <w:rPr>
          <w:rFonts w:ascii="宋体" w:hAnsi="宋体" w:eastAsia="宋体"/>
          <w:b w:val="0"/>
          <w:sz w:val="22"/>
        </w:rPr>
        <w:t>表3表明各指定日期储能仍呈现低价充电、高价放电的调度特征，且每天0:00和24:00储电量均保持为6000kWh。紧急购电事件如表4所示。</w:t>
      </w:r>
    </w:p>
    <w:p>
      <w:pPr>
        <w:spacing w:before="120" w:after="60"/>
        <w:jc w:val="center"/>
      </w:pPr>
      <w:r>
        <w:rPr>
          <w:rFonts w:ascii="宋体" w:hAnsi="宋体" w:eastAsia="宋体"/>
          <w:b/>
          <w:sz w:val="22"/>
        </w:rPr>
        <w:t>表4 指定日期紧急购电事件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日期</w:t>
            </w:r>
          </w:p>
        </w:tc>
        <w:tc>
          <w:tcPr>
            <w:tcW w:type="dxa" w:w="3022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紧急购电时间段</w:t>
            </w:r>
          </w:p>
        </w:tc>
        <w:tc>
          <w:tcPr>
            <w:tcW w:type="dxa" w:w="3022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紧急购电量(kWh)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2025年3月20号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7:00-10:00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2332.340137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2025年3月20号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11:10-11:20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229.378133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2025年3月20号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11:30-12:00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291.0217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2025年3月20号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12:40-13:00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85.156867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2025年3月20号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13:20-14:00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115.67185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2025年3月20号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15:50-16:00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16.786833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2025年3月20号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16:50-17:00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2.98585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2025年6月21号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4:00-4:50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5.2416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2025年6月21号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5:00-5:50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362.6616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2025年6月21号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6:00-7:20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713.166817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2025年9月23号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6:30-6:50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106.01389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2025年9月23号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7:00-9:50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2114.313433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2025年9月23号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10:00-12:00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974.106733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2025年9月23号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13:50-14:00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14.528283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2025年9月23号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15:50-16:00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6.975883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2025年12月21号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7:10-11:50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2465.557035</w:t>
            </w:r>
          </w:p>
        </w:tc>
      </w:tr>
    </w:tbl>
    <w:p>
      <w:pPr>
        <w:spacing w:after="120" w:line="324" w:lineRule="auto"/>
      </w:pPr>
      <w:r>
        <w:rPr>
          <w:rFonts w:ascii="宋体" w:hAnsi="宋体" w:eastAsia="宋体"/>
          <w:b w:val="0"/>
          <w:sz w:val="22"/>
        </w:rPr>
        <w:t>表4表明问题三在预报偏差较大时段会出现紧急购电，但模型只输出实际发生的连续时段事件，不逐十分钟填表。图2和图3进一步展示指定日期储能轨迹及预报更新时点价值。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5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指定日期_储能充放电与储电量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 w:val="0"/>
          <w:sz w:val="22"/>
        </w:rPr>
        <w:t>图2 指定日期储能充放电与储电量</w:t>
      </w:r>
    </w:p>
    <w:p>
      <w:pPr>
        <w:spacing w:before="200" w:after="120"/>
      </w:pPr>
      <w:r>
        <w:rPr>
          <w:rFonts w:ascii="黑体" w:hAnsi="黑体" w:eastAsia="黑体"/>
          <w:b/>
          <w:sz w:val="30"/>
        </w:rPr>
        <w:t>7.4 模型检验</w:t>
      </w:r>
    </w:p>
    <w:p>
      <w:pPr>
        <w:spacing w:before="120" w:after="120"/>
      </w:pPr>
      <w:r>
        <w:rPr>
          <w:rFonts w:ascii="黑体" w:hAnsi="黑体" w:eastAsia="黑体"/>
          <w:b/>
          <w:sz w:val="25"/>
        </w:rPr>
        <w:t>7.4.1 物理约束检验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2"/>
        </w:rPr>
        <w:t>约束复核结果表明所得结果满足物理约束。最大SOC递推残差为0kWh，最大电能平衡残差为0kWh，最大充放电功率为5000kW，最大首末SOC误差为</w:t>
      </w:r>
      <w:r>
        <w:rPr>
          <w:rFonts w:ascii="Cambria Math" w:hAnsi="Cambria Math" w:eastAsia="Cambria Math"/>
          <w:b w:val="0"/>
          <w:i/>
          <w:sz w:val="22"/>
        </w:rPr>
        <w:t>1.073204</w:t>
      </w:r>
      <w:r>
        <w:rPr>
          <w:rFonts w:ascii="Cambria Math" w:hAnsi="Cambria Math" w:eastAsia="Cambria Math"/>
          <w:b w:val="0"/>
          <w:i/>
          <w:sz w:val="22"/>
        </w:rPr>
        <w:t>×</w:t>
      </w:r>
      <w:r>
        <w:rPr>
          <w:rFonts w:ascii="Cambria Math" w:hAnsi="Cambria Math" w:eastAsia="Cambria Math"/>
          <w:b w:val="0"/>
          <w:i/>
          <w:sz w:val="22"/>
        </w:rPr>
        <w:t>10</w:t>
      </w:r>
      <w:r>
        <w:rPr>
          <w:rFonts w:ascii="Cambria Math" w:hAnsi="Cambria Math" w:eastAsia="Cambria Math"/>
          <w:b w:val="0"/>
          <w:i/>
          <w:sz w:val="22"/>
          <w:vertAlign w:val="superscript"/>
        </w:rPr>
        <w:t>-10</w:t>
      </w:r>
      <w:r>
        <w:rPr>
          <w:rFonts w:ascii="宋体" w:hAnsi="宋体" w:eastAsia="宋体"/>
          <w:b w:val="0"/>
          <w:sz w:val="22"/>
        </w:rPr>
        <w:t>kWh；输出期紧急购电量为835168.140046kWh。</w:t>
      </w:r>
    </w:p>
    <w:p>
      <w:pPr>
        <w:spacing w:before="120" w:after="120"/>
      </w:pPr>
      <w:r>
        <w:rPr>
          <w:rFonts w:ascii="黑体" w:hAnsi="黑体" w:eastAsia="黑体"/>
          <w:b/>
          <w:sz w:val="25"/>
        </w:rPr>
        <w:t>7.4.2 预报更新时点价值检验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2"/>
        </w:rPr>
        <w:t>仅使用0:00预报时总费用为17399306.330052元，增加6:00更新后降至16786994.681816元；增加12:00更新后降至16609954.774133元；增加18:00更新后仅降至16609954.26072元。据此得到：</w:t>
      </w:r>
    </w:p>
    <w:p>
      <w:pPr>
        <w:spacing w:after="80" w:line="312" w:lineRule="auto"/>
        <w:ind w:left="420" w:hanging="420"/>
      </w:pPr>
      <w:r>
        <w:rPr>
          <w:rFonts w:ascii="宋体" w:hAnsi="宋体" w:eastAsia="宋体"/>
          <w:b w:val="0"/>
          <w:sz w:val="22"/>
        </w:rPr>
        <w:t>1. 6:00预报应引入：总费用下降612311.648236元，紧急购电下降274662.153128kWh，收益明显。</w:t>
      </w:r>
    </w:p>
    <w:p>
      <w:pPr>
        <w:spacing w:after="80" w:line="312" w:lineRule="auto"/>
        <w:ind w:left="420" w:hanging="420"/>
      </w:pPr>
      <w:r>
        <w:rPr>
          <w:rFonts w:ascii="宋体" w:hAnsi="宋体" w:eastAsia="宋体"/>
          <w:b w:val="0"/>
          <w:sz w:val="22"/>
        </w:rPr>
        <w:t>2. 12:00预报也建议引入：总费用再下降177039.907683元，紧急购电再下降46958.881451kWh，仍有实际价值。</w:t>
      </w:r>
    </w:p>
    <w:p>
      <w:pPr>
        <w:spacing w:after="80" w:line="312" w:lineRule="auto"/>
        <w:ind w:left="420" w:hanging="420"/>
      </w:pPr>
      <w:r>
        <w:rPr>
          <w:rFonts w:ascii="宋体" w:hAnsi="宋体" w:eastAsia="宋体"/>
          <w:b w:val="0"/>
          <w:sz w:val="22"/>
        </w:rPr>
        <w:t>3. 18:00预报没有实质价值：总费用仅再下降0.513412元，且18:00后仅剩6小时，可仅在预报发生显著变化时启用。</w:t>
      </w:r>
    </w:p>
    <w:p>
      <w:pPr>
        <w:spacing w:before="120" w:after="120"/>
      </w:pPr>
      <w:r>
        <w:rPr>
          <w:rFonts w:ascii="黑体" w:hAnsi="黑体" w:eastAsia="黑体"/>
          <w:b/>
          <w:sz w:val="25"/>
        </w:rPr>
        <w:t>7.4.3 预报整体缩放灵敏度检验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2"/>
        </w:rPr>
        <w:t>预报灵敏度分析表明预报整体偏低会显著增加紧急购电和总费用。以2025年3月20号为例，预报缩放0.9、1.0和1.1时总费用分别为54349.630189元、57118.274554元和64378.0507元；12月21号对应费用分别为69122.999203元、71580.434387元和78031.859474元。预报越接近实际值，计划购电越准确，紧急购电和调整费用越低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16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预报更新时点_边际价值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 w:val="0"/>
          <w:sz w:val="22"/>
        </w:rPr>
        <w:t>图3 预报更新时点边际价值</w:t>
      </w:r>
    </w:p>
    <w:p>
      <w:pPr>
        <w:spacing w:before="120" w:after="120"/>
      </w:pPr>
      <w:r>
        <w:rPr>
          <w:rFonts w:ascii="黑体" w:hAnsi="黑体" w:eastAsia="黑体"/>
          <w:b/>
          <w:sz w:val="25"/>
        </w:rPr>
        <w:t>7.4.4 输出文件一致性检验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2"/>
        </w:rPr>
        <w:t>输出文件复核表明result3.xlsx四个工作表结构正确，计划购电量和调整购电量均为334×144，充放电量按6个四小时区间聚合，紧急购电事件按连续时段合并，与逐10分钟明细反算一致。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2"/>
        </w:rPr>
        <w:t>综上，两阶段滚动MILP模型兼顾供电可靠性与购电经济性，结果具有物理可行性和可解释性。</w:t>
      </w:r>
    </w:p>
    <w:sectPr w:rsidR="00FC693F" w:rsidRPr="0006063C" w:rsidSect="00034616">
      <w:pgSz w:w="12240" w:h="15840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