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黑体" w:hAnsi="黑体" w:eastAsia="黑体"/>
          <w:b/>
          <w:sz w:val="36"/>
        </w:rPr>
        <w:t>六、问题二的模型建立与求解部分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6.1 数据预处理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本问题数据覆盖2025年全年365天、共52560个10分钟时段，且电价、实际负荷和光伏功率均具备完整时间序列。附件1电价范围为0.3713～1.3952元/kWh；附件2全年负载功率范围为1995.7176～7978.8849kW，光伏实际功率范围为0.0000～10216.2000kW；全年负荷电量为40524054.95029999kWh，光伏电量为20251242.811683334kWh。数据呈现显著季节差异和日内波动，为全年储能跨时段调度提供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指定日期_负载光伏净负荷与计划购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图1 指定日期负载、光伏、净负荷与计划购电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数据处理按以下五个步骤完成：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1. 储能参数读取保证模型参数来自题设附录1。容量为12000kWh，最大充放电功率为5000kW，初始电量为6000kWh，安全电量为1200～10800kWh，充放电效率为0.9。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2. 电价读取与校验保证价格序列正确。读取附件1的144个10分钟电价点，检查记录数、时间连续性和价格有限正值，并按时间端点排序。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3. 实际功率读取与展平保证全年时段对齐。分别读取附件2“小区负载”和“光伏发电实际功率”工作表，检查365天×144个时段，并将二维功率展平为全年序列。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4. 量纲转换保证所有电量统一为kWh。取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t=1/6</w:t>
      </w:r>
      <w:r>
        <w:rPr>
          <w:rFonts w:ascii="宋体" w:hAnsi="宋体" w:eastAsia="宋体"/>
          <w:b w:val="0"/>
          <w:sz w:val="22"/>
        </w:rPr>
        <w:t>h，按</w:t>
      </w:r>
      <w:r>
        <w:rPr>
          <w:rFonts w:ascii="Cambria Math" w:hAnsi="Cambria Math" w:eastAsia="Cambria Math"/>
          <w:b w:val="0"/>
          <w:i/>
          <w:sz w:val="22"/>
        </w:rPr>
        <w:t>L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L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G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PV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</w:t>
      </w:r>
      <w:r>
        <w:rPr>
          <w:rFonts w:ascii="宋体" w:hAnsi="宋体" w:eastAsia="宋体"/>
          <w:b w:val="0"/>
          <w:sz w:val="22"/>
        </w:rPr>
        <w:t>将负载和光伏功率转换为时段电量。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5. 全年电价构造与数据检查保证模型输入一致。将144点日电价循环复制365天，并检查时段数、天数、功率范围和电量总量。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6.2 全年跨日MILP模型建立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问题二适宜建立为全年跨日确定性储能经济调度MILP模型。模型假设每天使用相同电价曲线，实际负荷和光伏功率已知，紧急购电价为同时刻计划电价的5倍；决策变量包括计划购电量</w:t>
      </w:r>
      <w:r>
        <w:rPr>
          <w:rFonts w:ascii="Cambria Math" w:hAnsi="Cambria Math" w:eastAsia="Cambria Math"/>
          <w:b w:val="0"/>
          <w:i/>
          <w:sz w:val="22"/>
        </w:rPr>
        <w:t>x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、紧急购电量</w:t>
      </w:r>
      <w:r>
        <w:rPr>
          <w:rFonts w:ascii="Cambria Math" w:hAnsi="Cambria Math" w:eastAsia="Cambria Math"/>
          <w:b w:val="0"/>
          <w:i/>
          <w:sz w:val="22"/>
        </w:rPr>
        <w:t>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、充电量</w:t>
      </w:r>
      <w:r>
        <w:rPr>
          <w:rFonts w:ascii="Cambria Math" w:hAnsi="Cambria Math" w:eastAsia="Cambria Math"/>
          <w:b w:val="0"/>
          <w:i/>
          <w:sz w:val="22"/>
        </w:rPr>
        <w:t>c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、放电量</w:t>
      </w:r>
      <w:r>
        <w:rPr>
          <w:rFonts w:ascii="Cambria Math" w:hAnsi="Cambria Math" w:eastAsia="Cambria Math"/>
          <w:b w:val="0"/>
          <w:i/>
          <w:sz w:val="22"/>
        </w:rPr>
        <w:t>d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、时段末储电量</w:t>
      </w:r>
      <w:r>
        <w:rPr>
          <w:rFonts w:ascii="Cambria Math" w:hAnsi="Cambria Math" w:eastAsia="Cambria Math"/>
          <w:b w:val="0"/>
          <w:i/>
          <w:sz w:val="22"/>
        </w:rPr>
        <w:t>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、弃光量</w:t>
      </w:r>
      <w:r>
        <w:rPr>
          <w:rFonts w:ascii="Cambria Math" w:hAnsi="Cambria Math" w:eastAsia="Cambria Math"/>
          <w:b w:val="0"/>
          <w:i/>
          <w:sz w:val="22"/>
        </w:rPr>
        <w:t>s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和充放电状态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。模型按五步建立，并默认采用年末SOC自由策略。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购电总费用最小化构成本模型的目标函数，如式（1）所示：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r>
                  <m:t xml:space="preserve">min </m:t>
                </m:r>
                <m:r>
                  <m:t xml:space="preserve">Z=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t=0</m:t>
                    </m:r>
                  </m:sub>
                  <m:sup>
                    <m:r>
                      <m:t xml:space="preserve">n-1</m:t>
                    </m:r>
                  </m:sup>
                  <m:e>
                    <m:r>
                      <m:t xml:space="preserve">(</m:t>
                    </m:r>
                    <m:sSub>
                      <m:e>
                        <m:r>
                          <m:t xml:space="preserve">π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  <m:r>
                      <m:t xml:space="preserve">+5</m:t>
                    </m:r>
                    <m:sSub>
                      <m:e>
                        <m:r>
                          <m:t xml:space="preserve">π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  <m:sSub>
                      <m:e>
                        <m:r>
                          <m:t xml:space="preserve">e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  <m:r>
                      <m:t xml:space="preserve">)</m:t>
                    </m:r>
                  </m:e>
                </m:nary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式（1）同时计入计划购电费和紧急购电费，其中</w:t>
      </w:r>
      <w:r>
        <w:rPr>
          <w:rFonts w:ascii="Cambria Math" w:hAnsi="Cambria Math" w:eastAsia="Cambria Math"/>
          <w:b w:val="0"/>
          <w:i/>
          <w:sz w:val="22"/>
        </w:rPr>
        <w:t>π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为计划电价，紧急购电费为计划电价的5倍。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电能平衡约束保证计划购电、紧急购电、光伏和放电能够满足负载、充电与弃光需求，如式（2）所示：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G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=</m:t>
                </m:r>
                <m:sSub>
                  <m:e>
                    <m:r>
                      <m:t xml:space="preserve">L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t</m:t>
                    </m:r>
                  </m:sub>
                </m:sSub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式（2）通过逐时段能量闭合保证供电可靠性；当计划购电与储能调度不足时，紧急购电变量</w:t>
      </w:r>
      <w:r>
        <w:rPr>
          <w:rFonts w:ascii="Cambria Math" w:hAnsi="Cambria Math" w:eastAsia="Cambria Math"/>
          <w:b w:val="0"/>
          <w:i/>
          <w:sz w:val="22"/>
        </w:rPr>
        <w:t>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可补足缺口。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储能荷电状态递推约束反映充放电效率损失，如式（3）所示：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=</m:t>
                </m:r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t-1</m:t>
                    </m:r>
                  </m:sub>
                </m:sSub>
                <m:r>
                  <m:t xml:space="preserve">+</m:t>
                </m:r>
                <m:r>
                  <m:t xml:space="preserve">η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-</m:t>
                </m:r>
                <m:f>
                  <m:num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num>
                  <m:den>
                    <m:r>
                      <m:t xml:space="preserve">η</m:t>
                    </m:r>
                  </m:den>
                </m:f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式（3）中充电量按效率</w:t>
      </w:r>
      <w:r>
        <w:rPr>
          <w:rFonts w:ascii="Cambria Math" w:hAnsi="Cambria Math" w:eastAsia="Cambria Math"/>
          <w:b w:val="0"/>
          <w:i/>
          <w:sz w:val="22"/>
        </w:rPr>
        <w:t>η</w:t>
      </w:r>
      <w:r>
        <w:rPr>
          <w:rFonts w:ascii="宋体" w:hAnsi="宋体" w:eastAsia="宋体"/>
          <w:b w:val="0"/>
          <w:sz w:val="22"/>
        </w:rPr>
        <w:t>进入储能，放电时电池内部消耗为</w:t>
      </w:r>
      <w:r>
        <w:rPr>
          <w:rFonts w:ascii="Cambria Math" w:hAnsi="Cambria Math" w:eastAsia="Cambria Math"/>
          <w:b w:val="0"/>
          <w:i/>
          <w:sz w:val="22"/>
        </w:rPr>
        <w:t>d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/</w:t>
      </w:r>
      <w:r>
        <w:rPr>
          <w:rFonts w:ascii="Cambria Math" w:hAnsi="Cambria Math" w:eastAsia="Cambria Math"/>
          <w:b w:val="0"/>
          <w:i/>
          <w:sz w:val="22"/>
        </w:rPr>
        <w:t>η</w:t>
      </w:r>
      <w:r>
        <w:rPr>
          <w:rFonts w:ascii="宋体" w:hAnsi="宋体" w:eastAsia="宋体"/>
          <w:b w:val="0"/>
          <w:sz w:val="22"/>
        </w:rPr>
        <w:t>，全年SOC连续传递。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充放电功率与互斥约束避免同一时段同时充放电，如式（4）所示：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r>
                  <m:t xml:space="preserve">0≤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≤M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，</m:t>
                </m:r>
                <m:r>
                  <m:t xml:space="preserve">0≤</m:t>
                </m:r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≤M(1-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)</m:t>
                </m:r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式（4）中</w:t>
      </w:r>
      <w:r>
        <w:rPr>
          <w:rFonts w:ascii="Cambria Math" w:hAnsi="Cambria Math" w:eastAsia="Cambria Math"/>
          <w:b w:val="0"/>
          <w:i/>
          <w:sz w:val="22"/>
        </w:rPr>
        <w:t>M=P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max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t=833.333333</w:t>
      </w:r>
      <w:r>
        <w:rPr>
          <w:rFonts w:ascii="宋体" w:hAnsi="宋体" w:eastAsia="宋体"/>
          <w:b w:val="0"/>
          <w:sz w:val="22"/>
        </w:rPr>
        <w:t>kWh；当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=1</w:t>
      </w:r>
      <w:r>
        <w:rPr>
          <w:rFonts w:ascii="宋体" w:hAnsi="宋体" w:eastAsia="宋体"/>
          <w:b w:val="0"/>
          <w:sz w:val="22"/>
        </w:rPr>
        <w:t>时允许充电，当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=0</w:t>
      </w:r>
      <w:r>
        <w:rPr>
          <w:rFonts w:ascii="宋体" w:hAnsi="宋体" w:eastAsia="宋体"/>
          <w:b w:val="0"/>
          <w:sz w:val="22"/>
        </w:rPr>
        <w:t>时允许放电或空闲。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储能安全和弃光约束保证全年运行安全，如式（5）所示：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r>
                  <m:t xml:space="preserve">1200≤</m:t>
                </m:r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≤10800，</m:t>
                </m:r>
                <m:r>
                  <m:t xml:space="preserve">0≤</m:t>
                </m:r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≤</m:t>
                </m:r>
                <m:sSub>
                  <m:e>
                    <m:r>
                      <m:t xml:space="preserve">G</m:t>
                    </m:r>
                  </m:e>
                  <m:sub>
                    <m:r>
                      <m:t xml:space="preserve">t</m:t>
                    </m:r>
                  </m:sub>
                </m:sSub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式（5）限定储电量安全区间和弃光量上限。综上，式（1）至式（5）连同</w:t>
      </w:r>
      <w:r>
        <w:rPr>
          <w:rFonts w:ascii="Cambria Math" w:hAnsi="Cambria Math" w:eastAsia="Cambria Math"/>
          <w:b w:val="0"/>
          <w:i/>
          <w:sz w:val="22"/>
        </w:rPr>
        <w:t>x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,e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,c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,d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,s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≥</w:t>
      </w:r>
      <w:r>
        <w:rPr>
          <w:rFonts w:ascii="Cambria Math" w:hAnsi="Cambria Math" w:eastAsia="Cambria Math"/>
          <w:b w:val="0"/>
          <w:i/>
          <w:sz w:val="22"/>
        </w:rPr>
        <w:t>0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∈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{0,1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}</w:t>
      </w:r>
      <w:r>
        <w:rPr>
          <w:rFonts w:ascii="宋体" w:hAnsi="宋体" w:eastAsia="宋体"/>
          <w:b w:val="0"/>
          <w:sz w:val="22"/>
        </w:rPr>
        <w:t>构成完整MILP模型。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6.3 模型求解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模型采用SciPy HiGHS求解，先求解LP松弛，再据此构造MILP最优性证书。全年LP最优解的最大同时充放电量为0kWh，满足充放电互斥，因此该LP解即为MILP全局最优解；LP与MILP目标值均为13751266.383345138元，相对间隙为0。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四个指定日期的计划购电结果如表1所示。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表1 指定日期购电量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2025年3月20号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479.3120166666665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562.2615500000002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697.9972833333333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全天购电量(kWh)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61658.562881069956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全天购电费(元)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37960.40928873144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2025年6月21号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78.57155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全天购电量(kWh)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38934.07248333333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全天购电费(元)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20470.62281259167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2025年9月23号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354.1946333333334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589.4326499999999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764.3298499999999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全天购电量(kWh)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66265.42130905349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全天购电费(元)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41311.88255747086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2025年12月21号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932.8280333333332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801.3818666666666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715.41445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全天购电量(kWh)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93770.21493971194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全天购电费(元)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59664.19678037064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表1表明计划购电主要出现在净负荷较高的早晚时段，光伏充足的午间购电较低。储能调度结果如表2所示。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表2 指定日期充放电量及首末储电量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2025年3月20号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1666.666666666667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833.3333333333333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5862.622783333332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6291.457016666666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2777.377216666667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4689.682222016462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254.722783333333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5709.783516666665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3503.184609053498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2930.216483333334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8550.000000000098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4352.866148148249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2025年6月21号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833.3333333333333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1719.953966666666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701.5952333333346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9965.071433333333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6154.103416666665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8166.666666666666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2485.896583333333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2361.059962963116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8550.000000000156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2025年9月23号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1666.666666666667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833.3333333333333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6746.77325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5245.375776131685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1896.615716666666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5923.777166255142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403.6249166666665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5602.905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8166.666666666666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3037.095000000001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8550.00000000022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8550.000000000222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2025年12月21号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1666.666666666667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1666.666666666667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1508.333333333333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5833.333333333333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7806.666666666668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7574.209156378602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2220.109416666667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5797.474233333332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8166.666666666666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2842.525766666667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8550.000000000324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8550.000000000326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表2表明储能呈现低电价时段充电、高电价时段放电的特征，且各日储电量均位于安全范围。表3表明确定性实际数据下计划购电足以覆盖缺口，四个指定日期均无需紧急购电。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表3 指定日期紧急购电量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日期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紧急购电时间段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紧急购电量(kWh)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2025年3月20号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2025年6月21号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2025年9月23号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2025年12月21号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指定日期_充放电功率与储电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图2 指定日期储能充放电功率与储电量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输出期2025-02-01至2025-12-31共334天的汇总结果如表4所示。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表4 输出期汇总结果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数值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单位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天数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334.0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天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计划购电量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20182315.79785095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kWh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紧急购电量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kWh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计划购电费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12227243.642736029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总购电费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12227243.642736029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充电量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6626490.592484979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kWh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放电量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5373532.379912834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kWh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弃光量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990168.0903121398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kWh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基准购电费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16407319.631981423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较基准节约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4180075.9892453942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元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结果分析表明优化调度能够显著降低购电费用。较储能不动作基准节约4180075.9892453942元，相对降幅为25.476897%；但默认free策略下年末SOC由6000kWh降至1200kWh，该节约包含初始储能库存消耗，应结合终端策略比较解释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6.4 模型检验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6.4.1 量纲一致性检验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量纲一致性检验表明模型输入、决策变量与输出单位均统一。附件1电价保持元/kWh；附件2功率以kW读取后按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t=1/6</w:t>
      </w:r>
      <w:r>
        <w:rPr>
          <w:rFonts w:ascii="宋体" w:hAnsi="宋体" w:eastAsia="宋体"/>
          <w:b w:val="0"/>
          <w:sz w:val="22"/>
        </w:rPr>
        <w:t>h转换为kWh，因此负荷电量、光伏电量及各类购电、充放电量均为kWh。储能单时段上限满足</w:t>
      </w:r>
      <w:r>
        <w:rPr>
          <w:rFonts w:ascii="Cambria Math" w:hAnsi="Cambria Math" w:eastAsia="Cambria Math"/>
          <w:b w:val="0"/>
          <w:i/>
          <w:sz w:val="22"/>
        </w:rPr>
        <w:t>M=P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max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t=5000/6=833.333333</w:t>
      </w:r>
      <w:r>
        <w:rPr>
          <w:rFonts w:ascii="宋体" w:hAnsi="宋体" w:eastAsia="宋体"/>
          <w:b w:val="0"/>
          <w:sz w:val="22"/>
        </w:rPr>
        <w:t>kWh，未将5000kW直接作为5000kWh使用；目标函数由元/kWh与kWh相乘得到元。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6.4.2 最优性与互斥性检验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最优性检验表明LP下界解同时构成MILP全局最优解。LP与MILP目标值均为13751266.383345138元，相对间隙为0；最大同时充放电量为0kWh，说明同一时段不存在同时充电和放电。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6.4.3 约束复核检验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约束复核结果表明所得解物理可行且数值一致。最大电能平衡残差为</w:t>
      </w:r>
      <w:r>
        <w:rPr>
          <w:rFonts w:ascii="Cambria Math" w:hAnsi="Cambria Math" w:eastAsia="Cambria Math"/>
          <w:b w:val="0"/>
          <w:i/>
          <w:sz w:val="22"/>
        </w:rPr>
        <w:t>2.2737367544323206</w:t>
      </w:r>
      <w:r>
        <w:rPr>
          <w:rFonts w:ascii="Cambria Math" w:hAnsi="Cambria Math" w:eastAsia="Cambria Math"/>
          <w:b w:val="0"/>
          <w:i/>
          <w:sz w:val="22"/>
        </w:rPr>
        <w:t>×</w:t>
      </w:r>
      <w:r>
        <w:rPr>
          <w:rFonts w:ascii="Cambria Math" w:hAnsi="Cambria Math" w:eastAsia="Cambria Math"/>
          <w:b w:val="0"/>
          <w:i/>
          <w:sz w:val="22"/>
        </w:rPr>
        <w:t>10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-13</w:t>
      </w:r>
      <w:r>
        <w:rPr>
          <w:rFonts w:ascii="宋体" w:hAnsi="宋体" w:eastAsia="宋体"/>
          <w:b w:val="0"/>
          <w:sz w:val="22"/>
        </w:rPr>
        <w:t>kWh，最大SOC递推残差为0kWh，最大紧急购电触发残差为</w:t>
      </w:r>
      <w:r>
        <w:rPr>
          <w:rFonts w:ascii="Cambria Math" w:hAnsi="Cambria Math" w:eastAsia="Cambria Math"/>
          <w:b w:val="0"/>
          <w:i/>
          <w:sz w:val="22"/>
        </w:rPr>
        <w:t>3.410605131648481</w:t>
      </w:r>
      <w:r>
        <w:rPr>
          <w:rFonts w:ascii="Cambria Math" w:hAnsi="Cambria Math" w:eastAsia="Cambria Math"/>
          <w:b w:val="0"/>
          <w:i/>
          <w:sz w:val="22"/>
        </w:rPr>
        <w:t>×</w:t>
      </w:r>
      <w:r>
        <w:rPr>
          <w:rFonts w:ascii="Cambria Math" w:hAnsi="Cambria Math" w:eastAsia="Cambria Math"/>
          <w:b w:val="0"/>
          <w:i/>
          <w:sz w:val="22"/>
        </w:rPr>
        <w:t>10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-13</w:t>
      </w:r>
      <w:r>
        <w:rPr>
          <w:rFonts w:ascii="宋体" w:hAnsi="宋体" w:eastAsia="宋体"/>
          <w:b w:val="0"/>
          <w:sz w:val="22"/>
        </w:rPr>
        <w:t>kWh；SOC范围为1200～10800.000000000335kWh，最大充放电功率均为5000kW，全年不存在供电缺口。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6.4.4 终端SOC策略检验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末端SOC策略比较表明结果对边界假设稳健。free、initial和daily-cycle策略下输出期总购电费分别为12227243.64273603元、12229460.726069365元和12245046.915277628元；与free相比，后两者仅分别增加2217.083333333954元和17803.272541597486元，说明优化结果受年末SOC假设影响有限。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6.4.5 灵敏度分析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灵敏度分析表明全年购电费对负荷和光伏变化较敏感，紧急购电价倍数不影响最优结果。负荷扰动</w:t>
      </w:r>
      <w:r>
        <w:rPr>
          <w:rFonts w:ascii="Cambria Math" w:hAnsi="Cambria Math" w:eastAsia="Cambria Math"/>
          <w:b w:val="0"/>
          <w:i/>
          <w:sz w:val="22"/>
        </w:rPr>
        <w:t>-10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和</w:t>
      </w:r>
      <w:r>
        <w:rPr>
          <w:rFonts w:ascii="Cambria Math" w:hAnsi="Cambria Math" w:eastAsia="Cambria Math"/>
          <w:b w:val="0"/>
          <w:i/>
          <w:sz w:val="22"/>
        </w:rPr>
        <w:t>+10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时输出期总购电费分别为9941678.349455312元和14700640.736562593元；光伏扰动</w:t>
      </w:r>
      <w:r>
        <w:rPr>
          <w:rFonts w:ascii="Cambria Math" w:hAnsi="Cambria Math" w:eastAsia="Cambria Math"/>
          <w:b w:val="0"/>
          <w:i/>
          <w:sz w:val="22"/>
        </w:rPr>
        <w:t>-10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和</w:t>
      </w:r>
      <w:r>
        <w:rPr>
          <w:rFonts w:ascii="Cambria Math" w:hAnsi="Cambria Math" w:eastAsia="Cambria Math"/>
          <w:b w:val="0"/>
          <w:i/>
          <w:sz w:val="22"/>
        </w:rPr>
        <w:t>+10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时分别为13178142.745156888元和11456009.87336838元；电价水平扰动按</w:t>
      </w:r>
      <w:r>
        <w:rPr>
          <w:rFonts w:ascii="Cambria Math" w:hAnsi="Cambria Math" w:eastAsia="Cambria Math"/>
          <w:b w:val="0"/>
          <w:i/>
          <w:sz w:val="22"/>
        </w:rPr>
        <w:t>-10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和</w:t>
      </w:r>
      <w:r>
        <w:rPr>
          <w:rFonts w:ascii="Cambria Math" w:hAnsi="Cambria Math" w:eastAsia="Cambria Math"/>
          <w:b w:val="0"/>
          <w:i/>
          <w:sz w:val="22"/>
        </w:rPr>
        <w:t>+10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分别使费用变为11004519.278462429元和13449968.007009637元；充放电效率降至0.81和升至0.99时费用分别为13076266.550666286元和11426220.590416787元。紧急购电价倍数取1、3、5、7、10时输出期总购电费均为12227243.64273603元。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灵敏度分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图3 全年重新优化单因素灵敏度分析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综上，所建全年跨日MILP模型能够在保证全年能量平衡和储能安全约束的前提下，利用峰谷电价差和跨日储能显著降低微网购电费用，所得购电与储能调度策略具有最优性、可行性和参数稳健性。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