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left"/>
      </w:pPr>
      <w:r>
        <w:rPr>
          <w:rFonts w:ascii="Times New Roman" w:hAnsi="Times New Roman" w:eastAsia="宋体"/>
          <w:b/>
          <w:sz w:val="26"/>
        </w:rPr>
        <w:t>八、问题四的模型建立与求解</w:t>
      </w:r>
    </w:p>
    <w:p>
      <w:pPr>
        <w:spacing w:before="0" w:after="0" w:line="240" w:lineRule="auto"/>
        <w:jc w:val="left"/>
      </w:pPr>
      <w:r>
        <w:rPr>
          <w:rFonts w:ascii="Times New Roman" w:hAnsi="Times New Roman" w:eastAsia="宋体"/>
          <w:b/>
          <w:sz w:val="21"/>
        </w:rPr>
        <w:t>8.1 数据分析与数据处理</w:t>
      </w:r>
    </w:p>
    <w:p>
      <w:pPr>
        <w:spacing w:before="0" w:after="0" w:line="240" w:lineRule="auto"/>
        <w:jc w:val="left"/>
      </w:pPr>
      <w:r>
        <w:rPr>
          <w:rFonts w:ascii="Times New Roman" w:hAnsi="Times New Roman" w:eastAsia="宋体"/>
          <w:b w:val="0"/>
          <w:sz w:val="21"/>
        </w:rPr>
        <w:t>问题四数据具有显著的价格波动、负荷季节性差异和光伏不确定性，为实时电价下的滚动购电提供依据。附件4实时电价按10分钟时段变化，2025-06-21的小区负载电量和光伏实际电量分别为81408.064800 kWh、62073.324400 kWh，2025-12-21分别为124376.440967 kWh、35338.659100 kWh。图1表明，四个指定日期的电价均存在明显峰谷差异，购电和储能决策需同时利用价格水平与价格时序信息。</w:t>
      </w:r>
    </w:p>
    <w:p>
      <w:pPr>
        <w:spacing w:before="40" w:after="40" w:line="240" w:lineRule="auto"/>
        <w:jc w:val="center"/>
      </w:pPr>
      <w:r>
        <w:drawing>
          <wp:inline xmlns:a="http://schemas.openxmlformats.org/drawingml/2006/main" xmlns:pic="http://schemas.openxmlformats.org/drawingml/2006/picture">
            <wp:extent cx="5486400" cy="2926080"/>
            <wp:docPr id="1" name="Picture 1"/>
            <wp:cNvGraphicFramePr>
              <a:graphicFrameLocks noChangeAspect="1"/>
            </wp:cNvGraphicFramePr>
            <a:graphic>
              <a:graphicData uri="http://schemas.openxmlformats.org/drawingml/2006/picture">
                <pic:pic>
                  <pic:nvPicPr>
                    <pic:cNvPr id="0" name="指定日期_波动电价.png"/>
                    <pic:cNvPicPr/>
                  </pic:nvPicPr>
                  <pic:blipFill>
                    <a:blip r:embed="rId18"/>
                    <a:stretch>
                      <a:fillRect/>
                    </a:stretch>
                  </pic:blipFill>
                  <pic:spPr>
                    <a:xfrm>
                      <a:off x="0" y="0"/>
                      <a:ext cx="5486400" cy="2926080"/>
                    </a:xfrm>
                    <a:prstGeom prst="rect"/>
                  </pic:spPr>
                </pic:pic>
              </a:graphicData>
            </a:graphic>
          </wp:inline>
        </w:drawing>
      </w:r>
    </w:p>
    <w:p>
      <w:pPr>
        <w:spacing w:before="0" w:after="0" w:line="240" w:lineRule="auto"/>
        <w:jc w:val="center"/>
      </w:pPr>
      <w:r>
        <w:rPr>
          <w:rFonts w:ascii="Times New Roman" w:hAnsi="Times New Roman" w:eastAsia="宋体"/>
          <w:b/>
          <w:sz w:val="21"/>
        </w:rPr>
        <w:t>图1 指定日期实时波动电价</w:t>
      </w:r>
    </w:p>
    <w:p>
      <w:pPr>
        <w:spacing w:before="0" w:after="0" w:line="240" w:lineRule="auto"/>
        <w:jc w:val="left"/>
      </w:pPr>
      <w:r>
        <w:rPr>
          <w:rFonts w:ascii="Times New Roman" w:hAnsi="Times New Roman" w:eastAsia="宋体"/>
          <w:b w:val="0"/>
          <w:sz w:val="21"/>
        </w:rPr>
        <w:t>数据处理按五个步骤完成。第一，完成附件读取与口径确认，使用附件2负荷与光伏、附件3光伏预报、附件4实时电价及储能参数。第二，完成时间映射，将每日划分为144个10分钟时段，时间步长Δt=10/60=1/6 h。第三，完成功率转电量，由L_d,t=P_L,d,tΔt、W_d,t=P_W,d,tΔt将功率统一换算为kWh。第四，完成输出范围设置，仅输出2025-02-01至2025-12-31共334天，1月用于预热和状态初始化。第五，完成信息隔离，计划和调整阶段均不使用未来实时电价，最终结算才调用附件4实际价格。</w:t>
      </w:r>
    </w:p>
    <w:p>
      <w:pPr>
        <w:spacing w:before="0" w:after="0" w:line="240" w:lineRule="auto"/>
        <w:jc w:val="left"/>
      </w:pPr>
      <w:r>
        <w:rPr>
          <w:rFonts w:ascii="Times New Roman" w:hAnsi="Times New Roman" w:eastAsia="宋体"/>
          <w:b/>
          <w:sz w:val="21"/>
        </w:rPr>
        <w:t>8.2 模型建立</w:t>
      </w:r>
    </w:p>
    <w:p>
      <w:pPr>
        <w:spacing w:before="0" w:after="0" w:line="240" w:lineRule="auto"/>
        <w:jc w:val="left"/>
      </w:pPr>
      <w:r>
        <w:rPr>
          <w:rFonts w:ascii="Times New Roman" w:hAnsi="Times New Roman" w:eastAsia="宋体"/>
          <w:b w:val="0"/>
          <w:sz w:val="21"/>
        </w:rPr>
        <w:t>问题四构建联合情景驱动的滚动两阶段随机优化模型。问题4-2在0:00确定共享计划购电量g_t并实时执行储能，问题4-3在此基础上于6:00、12:00、18:00更新未来未执行时段的最终购电量q_t。</w:t>
      </w:r>
    </w:p>
    <w:p>
      <w:pPr>
        <w:spacing w:before="0" w:after="0" w:line="240" w:lineRule="auto"/>
        <w:jc w:val="left"/>
      </w:pPr>
      <w:r>
        <w:rPr>
          <w:rFonts w:ascii="Times New Roman" w:hAnsi="Times New Roman" w:eastAsia="宋体"/>
          <w:b/>
          <w:sz w:val="21"/>
        </w:rPr>
        <w:t>8.2.1 联合情景构造</w:t>
      </w:r>
    </w:p>
    <w:p>
      <w:pPr>
        <w:spacing w:before="0" w:after="0" w:line="240" w:lineRule="auto"/>
        <w:jc w:val="left"/>
      </w:pPr>
      <w:r>
        <w:rPr>
          <w:rFonts w:ascii="Times New Roman" w:hAnsi="Times New Roman" w:eastAsia="宋体"/>
          <w:b w:val="0"/>
          <w:sz w:val="21"/>
        </w:rPr>
        <w:t>负荷、光伏误差与电价按同一历史日期配对，如式（1）所示。</w:t>
      </w:r>
    </w:p>
    <w:p>
      <w:pPr>
        <w:spacing w:before="40" w:after="40" w:line="240" w:lineRule="auto"/>
        <w:jc w:val="center"/>
      </w:pPr>
      <w:r>
        <w:drawing>
          <wp:inline xmlns:a="http://schemas.openxmlformats.org/drawingml/2006/main" xmlns:pic="http://schemas.openxmlformats.org/drawingml/2006/picture">
            <wp:extent cx="4623816" cy="454152"/>
            <wp:docPr id="2" name="Picture 2"/>
            <wp:cNvGraphicFramePr>
              <a:graphicFrameLocks noChangeAspect="1"/>
            </wp:cNvGraphicFramePr>
            <a:graphic>
              <a:graphicData uri="http://schemas.openxmlformats.org/drawingml/2006/picture">
                <pic:pic>
                  <pic:nvPicPr>
                    <pic:cNvPr id="0" name="problem4_eq01.png"/>
                    <pic:cNvPicPr/>
                  </pic:nvPicPr>
                  <pic:blipFill>
                    <a:blip r:embed="rId19"/>
                    <a:stretch>
                      <a:fillRect/>
                    </a:stretch>
                  </pic:blipFill>
                  <pic:spPr>
                    <a:xfrm>
                      <a:off x="0" y="0"/>
                      <a:ext cx="4623816" cy="454152"/>
                    </a:xfrm>
                    <a:prstGeom prst="rect"/>
                  </pic:spPr>
                </pic:pic>
              </a:graphicData>
            </a:graphic>
          </wp:inline>
        </w:drawing>
      </w:r>
    </w:p>
    <w:p>
      <w:pPr>
        <w:spacing w:before="0" w:after="0" w:line="240" w:lineRule="auto"/>
        <w:jc w:val="left"/>
      </w:pPr>
      <w:r>
        <w:rPr>
          <w:rFonts w:ascii="Times New Roman" w:hAnsi="Times New Roman" w:eastAsia="宋体"/>
          <w:b w:val="0"/>
          <w:sz w:val="21"/>
        </w:rPr>
        <w:t>式（1）中，τ为历史日期，ε_τ,t^L和ε_τ,t^W为负荷、光伏历史误差，π_τ,t为历史实际电价；该式保留三类随机因素的联合相关性。</w:t>
      </w:r>
    </w:p>
    <w:p>
      <w:pPr>
        <w:spacing w:before="0" w:after="0" w:line="240" w:lineRule="auto"/>
        <w:jc w:val="left"/>
      </w:pPr>
      <w:r>
        <w:rPr>
          <w:rFonts w:ascii="Times New Roman" w:hAnsi="Times New Roman" w:eastAsia="宋体"/>
          <w:b w:val="0"/>
          <w:sz w:val="21"/>
        </w:rPr>
        <w:t>更新时点使用已观察价格和历史同日增量外推未来价格，如式（2）所示。</w:t>
      </w:r>
    </w:p>
    <w:p>
      <w:pPr>
        <w:spacing w:before="40" w:after="40" w:line="240" w:lineRule="auto"/>
        <w:jc w:val="center"/>
      </w:pPr>
      <w:r>
        <w:drawing>
          <wp:inline xmlns:a="http://schemas.openxmlformats.org/drawingml/2006/main" xmlns:pic="http://schemas.openxmlformats.org/drawingml/2006/picture">
            <wp:extent cx="3413760" cy="420624"/>
            <wp:docPr id="3" name="Picture 3"/>
            <wp:cNvGraphicFramePr>
              <a:graphicFrameLocks noChangeAspect="1"/>
            </wp:cNvGraphicFramePr>
            <a:graphic>
              <a:graphicData uri="http://schemas.openxmlformats.org/drawingml/2006/picture">
                <pic:pic>
                  <pic:nvPicPr>
                    <pic:cNvPr id="0" name="problem4_eq02.png"/>
                    <pic:cNvPicPr/>
                  </pic:nvPicPr>
                  <pic:blipFill>
                    <a:blip r:embed="rId20"/>
                    <a:stretch>
                      <a:fillRect/>
                    </a:stretch>
                  </pic:blipFill>
                  <pic:spPr>
                    <a:xfrm>
                      <a:off x="0" y="0"/>
                      <a:ext cx="3413760" cy="420624"/>
                    </a:xfrm>
                    <a:prstGeom prst="rect"/>
                  </pic:spPr>
                </pic:pic>
              </a:graphicData>
            </a:graphic>
          </wp:inline>
        </w:drawing>
      </w:r>
    </w:p>
    <w:p>
      <w:pPr>
        <w:spacing w:before="0" w:after="0" w:line="240" w:lineRule="auto"/>
        <w:jc w:val="left"/>
      </w:pPr>
      <w:r>
        <w:rPr>
          <w:rFonts w:ascii="Times New Roman" w:hAnsi="Times New Roman" w:eastAsia="宋体"/>
          <w:b w:val="0"/>
          <w:sz w:val="21"/>
        </w:rPr>
        <w:t>式（2）中，s∈{0,6,12,18}为更新时点，π_d,s^actual为当天截至s的实际价格；该式保证决策不使用未来实际电价。</w:t>
      </w:r>
    </w:p>
    <w:p>
      <w:pPr>
        <w:spacing w:before="0" w:after="0" w:line="240" w:lineRule="auto"/>
        <w:jc w:val="left"/>
      </w:pPr>
      <w:r>
        <w:rPr>
          <w:rFonts w:ascii="Times New Roman" w:hAnsi="Times New Roman" w:eastAsia="宋体"/>
          <w:b/>
          <w:sz w:val="21"/>
        </w:rPr>
        <w:t>8.2.2 计划与储能约束</w:t>
      </w:r>
    </w:p>
    <w:p>
      <w:pPr>
        <w:spacing w:before="0" w:after="0" w:line="240" w:lineRule="auto"/>
        <w:jc w:val="left"/>
      </w:pPr>
      <w:r>
        <w:rPr>
          <w:rFonts w:ascii="Times New Roman" w:hAnsi="Times New Roman" w:eastAsia="宋体"/>
          <w:b w:val="0"/>
          <w:sz w:val="21"/>
        </w:rPr>
        <w:t>0:00阶段以期望总费用最小为目标，如式（3）所示。</w:t>
      </w:r>
    </w:p>
    <w:p>
      <w:pPr>
        <w:spacing w:before="40" w:after="40" w:line="240" w:lineRule="auto"/>
        <w:jc w:val="center"/>
      </w:pPr>
      <w:r>
        <w:drawing>
          <wp:inline xmlns:a="http://schemas.openxmlformats.org/drawingml/2006/main" xmlns:pic="http://schemas.openxmlformats.org/drawingml/2006/picture">
            <wp:extent cx="4395216" cy="710184"/>
            <wp:docPr id="4" name="Picture 4"/>
            <wp:cNvGraphicFramePr>
              <a:graphicFrameLocks noChangeAspect="1"/>
            </wp:cNvGraphicFramePr>
            <a:graphic>
              <a:graphicData uri="http://schemas.openxmlformats.org/drawingml/2006/picture">
                <pic:pic>
                  <pic:nvPicPr>
                    <pic:cNvPr id="0" name="problem4_eq03.png"/>
                    <pic:cNvPicPr/>
                  </pic:nvPicPr>
                  <pic:blipFill>
                    <a:blip r:embed="rId21"/>
                    <a:stretch>
                      <a:fillRect/>
                    </a:stretch>
                  </pic:blipFill>
                  <pic:spPr>
                    <a:xfrm>
                      <a:off x="0" y="0"/>
                      <a:ext cx="4395216" cy="710184"/>
                    </a:xfrm>
                    <a:prstGeom prst="rect"/>
                  </pic:spPr>
                </pic:pic>
              </a:graphicData>
            </a:graphic>
          </wp:inline>
        </w:drawing>
      </w:r>
    </w:p>
    <w:p>
      <w:pPr>
        <w:spacing w:before="0" w:after="0" w:line="240" w:lineRule="auto"/>
        <w:jc w:val="left"/>
      </w:pPr>
      <w:r>
        <w:rPr>
          <w:rFonts w:ascii="Times New Roman" w:hAnsi="Times New Roman" w:eastAsia="宋体"/>
          <w:b w:val="0"/>
          <w:sz w:val="21"/>
        </w:rPr>
        <w:t>计划购电价格取各情景实时价格的期望值，如式（4）所示。</w:t>
      </w:r>
    </w:p>
    <w:p>
      <w:pPr>
        <w:spacing w:before="40" w:after="40" w:line="240" w:lineRule="auto"/>
        <w:jc w:val="center"/>
      </w:pPr>
      <w:r>
        <w:drawing>
          <wp:inline xmlns:a="http://schemas.openxmlformats.org/drawingml/2006/main" xmlns:pic="http://schemas.openxmlformats.org/drawingml/2006/picture">
            <wp:extent cx="1386840" cy="536448"/>
            <wp:docPr id="5" name="Picture 5"/>
            <wp:cNvGraphicFramePr>
              <a:graphicFrameLocks noChangeAspect="1"/>
            </wp:cNvGraphicFramePr>
            <a:graphic>
              <a:graphicData uri="http://schemas.openxmlformats.org/drawingml/2006/picture">
                <pic:pic>
                  <pic:nvPicPr>
                    <pic:cNvPr id="0" name="problem4_eq04.png"/>
                    <pic:cNvPicPr/>
                  </pic:nvPicPr>
                  <pic:blipFill>
                    <a:blip r:embed="rId22"/>
                    <a:stretch>
                      <a:fillRect/>
                    </a:stretch>
                  </pic:blipFill>
                  <pic:spPr>
                    <a:xfrm>
                      <a:off x="0" y="0"/>
                      <a:ext cx="1386840" cy="536448"/>
                    </a:xfrm>
                    <a:prstGeom prst="rect"/>
                  </pic:spPr>
                </pic:pic>
              </a:graphicData>
            </a:graphic>
          </wp:inline>
        </w:drawing>
      </w:r>
    </w:p>
    <w:p>
      <w:pPr>
        <w:spacing w:before="0" w:after="0" w:line="240" w:lineRule="auto"/>
        <w:jc w:val="left"/>
      </w:pPr>
      <w:r>
        <w:rPr>
          <w:rFonts w:ascii="Times New Roman" w:hAnsi="Times New Roman" w:eastAsia="宋体"/>
          <w:b w:val="0"/>
          <w:sz w:val="21"/>
        </w:rPr>
        <w:t>式（3）和式（4）中，g_t为共享计划购电量，e_t,ω为紧急购电量，E_T,ω为日末储电量，λ为终端库存价值系数；紧急购电按实时价格的5倍计价。</w:t>
      </w:r>
    </w:p>
    <w:p>
      <w:pPr>
        <w:spacing w:before="0" w:after="0" w:line="240" w:lineRule="auto"/>
        <w:jc w:val="left"/>
      </w:pPr>
      <w:r>
        <w:rPr>
          <w:rFonts w:ascii="Times New Roman" w:hAnsi="Times New Roman" w:eastAsia="宋体"/>
          <w:b w:val="0"/>
          <w:sz w:val="21"/>
        </w:rPr>
        <w:t>各情景各时段满足电能平衡，如式（5）所示。</w:t>
      </w:r>
    </w:p>
    <w:p>
      <w:pPr>
        <w:spacing w:before="40" w:after="40" w:line="240" w:lineRule="auto"/>
        <w:jc w:val="center"/>
      </w:pPr>
      <w:r>
        <w:drawing>
          <wp:inline xmlns:a="http://schemas.openxmlformats.org/drawingml/2006/main" xmlns:pic="http://schemas.openxmlformats.org/drawingml/2006/picture">
            <wp:extent cx="4130040" cy="362712"/>
            <wp:docPr id="6" name="Picture 6"/>
            <wp:cNvGraphicFramePr>
              <a:graphicFrameLocks noChangeAspect="1"/>
            </wp:cNvGraphicFramePr>
            <a:graphic>
              <a:graphicData uri="http://schemas.openxmlformats.org/drawingml/2006/picture">
                <pic:pic>
                  <pic:nvPicPr>
                    <pic:cNvPr id="0" name="problem4_eq05.png"/>
                    <pic:cNvPicPr/>
                  </pic:nvPicPr>
                  <pic:blipFill>
                    <a:blip r:embed="rId23"/>
                    <a:stretch>
                      <a:fillRect/>
                    </a:stretch>
                  </pic:blipFill>
                  <pic:spPr>
                    <a:xfrm>
                      <a:off x="0" y="0"/>
                      <a:ext cx="4130040" cy="362712"/>
                    </a:xfrm>
                    <a:prstGeom prst="rect"/>
                  </pic:spPr>
                </pic:pic>
              </a:graphicData>
            </a:graphic>
          </wp:inline>
        </w:drawing>
      </w:r>
    </w:p>
    <w:p>
      <w:pPr>
        <w:spacing w:before="0" w:after="0" w:line="240" w:lineRule="auto"/>
        <w:jc w:val="left"/>
      </w:pPr>
      <w:r>
        <w:rPr>
          <w:rFonts w:ascii="Times New Roman" w:hAnsi="Times New Roman" w:eastAsia="宋体"/>
          <w:b w:val="0"/>
          <w:sz w:val="21"/>
        </w:rPr>
        <w:t>储能荷电状态按充放电效率递推，如式（6）所示。</w:t>
      </w:r>
    </w:p>
    <w:p>
      <w:pPr>
        <w:spacing w:before="40" w:after="40" w:line="240" w:lineRule="auto"/>
        <w:jc w:val="center"/>
      </w:pPr>
      <w:r>
        <w:drawing>
          <wp:inline xmlns:a="http://schemas.openxmlformats.org/drawingml/2006/main" xmlns:pic="http://schemas.openxmlformats.org/drawingml/2006/picture">
            <wp:extent cx="2993136" cy="362712"/>
            <wp:docPr id="7" name="Picture 7"/>
            <wp:cNvGraphicFramePr>
              <a:graphicFrameLocks noChangeAspect="1"/>
            </wp:cNvGraphicFramePr>
            <a:graphic>
              <a:graphicData uri="http://schemas.openxmlformats.org/drawingml/2006/picture">
                <pic:pic>
                  <pic:nvPicPr>
                    <pic:cNvPr id="0" name="problem4_eq06.png"/>
                    <pic:cNvPicPr/>
                  </pic:nvPicPr>
                  <pic:blipFill>
                    <a:blip r:embed="rId24"/>
                    <a:stretch>
                      <a:fillRect/>
                    </a:stretch>
                  </pic:blipFill>
                  <pic:spPr>
                    <a:xfrm>
                      <a:off x="0" y="0"/>
                      <a:ext cx="2993136" cy="362712"/>
                    </a:xfrm>
                    <a:prstGeom prst="rect"/>
                  </pic:spPr>
                </pic:pic>
              </a:graphicData>
            </a:graphic>
          </wp:inline>
        </w:drawing>
      </w:r>
    </w:p>
    <w:p>
      <w:pPr>
        <w:spacing w:before="0" w:after="0" w:line="240" w:lineRule="auto"/>
        <w:jc w:val="left"/>
      </w:pPr>
      <w:r>
        <w:rPr>
          <w:rFonts w:ascii="Times New Roman" w:hAnsi="Times New Roman" w:eastAsia="宋体"/>
          <w:b w:val="0"/>
          <w:sz w:val="21"/>
        </w:rPr>
        <w:t>SOC安全范围约束如式（7）所示。</w:t>
      </w:r>
    </w:p>
    <w:p>
      <w:pPr>
        <w:spacing w:before="40" w:after="40" w:line="240" w:lineRule="auto"/>
        <w:jc w:val="center"/>
      </w:pPr>
      <w:r>
        <w:drawing>
          <wp:inline xmlns:a="http://schemas.openxmlformats.org/drawingml/2006/main" xmlns:pic="http://schemas.openxmlformats.org/drawingml/2006/picture">
            <wp:extent cx="2179320" cy="359664"/>
            <wp:docPr id="8" name="Picture 8"/>
            <wp:cNvGraphicFramePr>
              <a:graphicFrameLocks noChangeAspect="1"/>
            </wp:cNvGraphicFramePr>
            <a:graphic>
              <a:graphicData uri="http://schemas.openxmlformats.org/drawingml/2006/picture">
                <pic:pic>
                  <pic:nvPicPr>
                    <pic:cNvPr id="0" name="problem4_eq07.png"/>
                    <pic:cNvPicPr/>
                  </pic:nvPicPr>
                  <pic:blipFill>
                    <a:blip r:embed="rId25"/>
                    <a:stretch>
                      <a:fillRect/>
                    </a:stretch>
                  </pic:blipFill>
                  <pic:spPr>
                    <a:xfrm>
                      <a:off x="0" y="0"/>
                      <a:ext cx="2179320" cy="359664"/>
                    </a:xfrm>
                    <a:prstGeom prst="rect"/>
                  </pic:spPr>
                </pic:pic>
              </a:graphicData>
            </a:graphic>
          </wp:inline>
        </w:drawing>
      </w:r>
    </w:p>
    <w:p>
      <w:pPr>
        <w:spacing w:before="0" w:after="0" w:line="240" w:lineRule="auto"/>
        <w:jc w:val="left"/>
      </w:pPr>
      <w:r>
        <w:rPr>
          <w:rFonts w:ascii="Times New Roman" w:hAnsi="Times New Roman" w:eastAsia="宋体"/>
          <w:b w:val="0"/>
          <w:sz w:val="21"/>
        </w:rPr>
        <w:t>充放电功率上限如式（8）所示。</w:t>
      </w:r>
    </w:p>
    <w:p>
      <w:pPr>
        <w:spacing w:before="40" w:after="40" w:line="240" w:lineRule="auto"/>
        <w:jc w:val="center"/>
      </w:pPr>
      <w:r>
        <w:drawing>
          <wp:inline xmlns:a="http://schemas.openxmlformats.org/drawingml/2006/main" xmlns:pic="http://schemas.openxmlformats.org/drawingml/2006/picture">
            <wp:extent cx="2840736" cy="362712"/>
            <wp:docPr id="9" name="Picture 9"/>
            <wp:cNvGraphicFramePr>
              <a:graphicFrameLocks noChangeAspect="1"/>
            </wp:cNvGraphicFramePr>
            <a:graphic>
              <a:graphicData uri="http://schemas.openxmlformats.org/drawingml/2006/picture">
                <pic:pic>
                  <pic:nvPicPr>
                    <pic:cNvPr id="0" name="problem4_eq08.png"/>
                    <pic:cNvPicPr/>
                  </pic:nvPicPr>
                  <pic:blipFill>
                    <a:blip r:embed="rId26"/>
                    <a:stretch>
                      <a:fillRect/>
                    </a:stretch>
                  </pic:blipFill>
                  <pic:spPr>
                    <a:xfrm>
                      <a:off x="0" y="0"/>
                      <a:ext cx="2840736" cy="362712"/>
                    </a:xfrm>
                    <a:prstGeom prst="rect"/>
                  </pic:spPr>
                </pic:pic>
              </a:graphicData>
            </a:graphic>
          </wp:inline>
        </w:drawing>
      </w:r>
    </w:p>
    <w:p>
      <w:pPr>
        <w:spacing w:before="0" w:after="0" w:line="240" w:lineRule="auto"/>
        <w:jc w:val="left"/>
      </w:pPr>
      <w:r>
        <w:rPr>
          <w:rFonts w:ascii="Times New Roman" w:hAnsi="Times New Roman" w:eastAsia="宋体"/>
          <w:b w:val="0"/>
          <w:sz w:val="21"/>
        </w:rPr>
        <w:t>充放电互斥约束如式（9）所示。</w:t>
      </w:r>
    </w:p>
    <w:p>
      <w:pPr>
        <w:spacing w:before="40" w:after="40" w:line="240" w:lineRule="auto"/>
        <w:jc w:val="center"/>
      </w:pPr>
      <w:r>
        <w:drawing>
          <wp:inline xmlns:a="http://schemas.openxmlformats.org/drawingml/2006/main" xmlns:pic="http://schemas.openxmlformats.org/drawingml/2006/picture">
            <wp:extent cx="2606040" cy="362712"/>
            <wp:docPr id="10" name="Picture 10"/>
            <wp:cNvGraphicFramePr>
              <a:graphicFrameLocks noChangeAspect="1"/>
            </wp:cNvGraphicFramePr>
            <a:graphic>
              <a:graphicData uri="http://schemas.openxmlformats.org/drawingml/2006/picture">
                <pic:pic>
                  <pic:nvPicPr>
                    <pic:cNvPr id="0" name="problem4_eq09.png"/>
                    <pic:cNvPicPr/>
                  </pic:nvPicPr>
                  <pic:blipFill>
                    <a:blip r:embed="rId27"/>
                    <a:stretch>
                      <a:fillRect/>
                    </a:stretch>
                  </pic:blipFill>
                  <pic:spPr>
                    <a:xfrm>
                      <a:off x="0" y="0"/>
                      <a:ext cx="2606040" cy="362712"/>
                    </a:xfrm>
                    <a:prstGeom prst="rect"/>
                  </pic:spPr>
                </pic:pic>
              </a:graphicData>
            </a:graphic>
          </wp:inline>
        </w:drawing>
      </w:r>
    </w:p>
    <w:p>
      <w:pPr>
        <w:spacing w:before="0" w:after="0" w:line="240" w:lineRule="auto"/>
        <w:jc w:val="left"/>
      </w:pPr>
      <w:r>
        <w:rPr>
          <w:rFonts w:ascii="Times New Roman" w:hAnsi="Times New Roman" w:eastAsia="宋体"/>
          <w:b w:val="0"/>
          <w:sz w:val="21"/>
        </w:rPr>
        <w:t>跨日储能状态连续传递，如式（10）所示。</w:t>
      </w:r>
    </w:p>
    <w:p>
      <w:pPr>
        <w:spacing w:before="40" w:after="40" w:line="240" w:lineRule="auto"/>
        <w:jc w:val="center"/>
      </w:pPr>
      <w:r>
        <w:drawing>
          <wp:inline xmlns:a="http://schemas.openxmlformats.org/drawingml/2006/main" xmlns:pic="http://schemas.openxmlformats.org/drawingml/2006/picture">
            <wp:extent cx="1606296" cy="356616"/>
            <wp:docPr id="11" name="Picture 11"/>
            <wp:cNvGraphicFramePr>
              <a:graphicFrameLocks noChangeAspect="1"/>
            </wp:cNvGraphicFramePr>
            <a:graphic>
              <a:graphicData uri="http://schemas.openxmlformats.org/drawingml/2006/picture">
                <pic:pic>
                  <pic:nvPicPr>
                    <pic:cNvPr id="0" name="problem4_eq10.png"/>
                    <pic:cNvPicPr/>
                  </pic:nvPicPr>
                  <pic:blipFill>
                    <a:blip r:embed="rId28"/>
                    <a:stretch>
                      <a:fillRect/>
                    </a:stretch>
                  </pic:blipFill>
                  <pic:spPr>
                    <a:xfrm>
                      <a:off x="0" y="0"/>
                      <a:ext cx="1606296" cy="356616"/>
                    </a:xfrm>
                    <a:prstGeom prst="rect"/>
                  </pic:spPr>
                </pic:pic>
              </a:graphicData>
            </a:graphic>
          </wp:inline>
        </w:drawing>
      </w:r>
    </w:p>
    <w:p>
      <w:pPr>
        <w:spacing w:before="0" w:after="0" w:line="240" w:lineRule="auto"/>
        <w:jc w:val="left"/>
      </w:pPr>
      <w:r>
        <w:rPr>
          <w:rFonts w:ascii="Times New Roman" w:hAnsi="Times New Roman" w:eastAsia="宋体"/>
          <w:b w:val="0"/>
          <w:sz w:val="21"/>
        </w:rPr>
        <w:t>式（5）至式（10）中，c_t,ω、d_t,ω、s_t,ω分别为充电量、放电量和弃光电量；η=0.9，最大充放电电量为833.333333 kWh。</w:t>
      </w:r>
    </w:p>
    <w:p>
      <w:pPr>
        <w:spacing w:before="0" w:after="0" w:line="240" w:lineRule="auto"/>
        <w:jc w:val="left"/>
      </w:pPr>
      <w:r>
        <w:rPr>
          <w:rFonts w:ascii="Times New Roman" w:hAnsi="Times New Roman" w:eastAsia="宋体"/>
          <w:b/>
          <w:sz w:val="21"/>
        </w:rPr>
        <w:t>8.2.3 调整与实时执行</w:t>
      </w:r>
    </w:p>
    <w:p>
      <w:pPr>
        <w:spacing w:before="0" w:after="0" w:line="240" w:lineRule="auto"/>
        <w:jc w:val="left"/>
      </w:pPr>
      <w:r>
        <w:rPr>
          <w:rFonts w:ascii="Times New Roman" w:hAnsi="Times New Roman" w:eastAsia="宋体"/>
          <w:b w:val="0"/>
          <w:sz w:val="21"/>
        </w:rPr>
        <w:t>上调购电量按式（11）定义。</w:t>
      </w:r>
    </w:p>
    <w:p>
      <w:pPr>
        <w:spacing w:before="40" w:after="40" w:line="240" w:lineRule="auto"/>
        <w:jc w:val="center"/>
      </w:pPr>
      <w:r>
        <w:drawing>
          <wp:inline xmlns:a="http://schemas.openxmlformats.org/drawingml/2006/main" xmlns:pic="http://schemas.openxmlformats.org/drawingml/2006/picture">
            <wp:extent cx="2167128" cy="384048"/>
            <wp:docPr id="12" name="Picture 12"/>
            <wp:cNvGraphicFramePr>
              <a:graphicFrameLocks noChangeAspect="1"/>
            </wp:cNvGraphicFramePr>
            <a:graphic>
              <a:graphicData uri="http://schemas.openxmlformats.org/drawingml/2006/picture">
                <pic:pic>
                  <pic:nvPicPr>
                    <pic:cNvPr id="0" name="problem4_eq11.png"/>
                    <pic:cNvPicPr/>
                  </pic:nvPicPr>
                  <pic:blipFill>
                    <a:blip r:embed="rId29"/>
                    <a:stretch>
                      <a:fillRect/>
                    </a:stretch>
                  </pic:blipFill>
                  <pic:spPr>
                    <a:xfrm>
                      <a:off x="0" y="0"/>
                      <a:ext cx="2167128" cy="384048"/>
                    </a:xfrm>
                    <a:prstGeom prst="rect"/>
                  </pic:spPr>
                </pic:pic>
              </a:graphicData>
            </a:graphic>
          </wp:inline>
        </w:drawing>
      </w:r>
    </w:p>
    <w:p>
      <w:pPr>
        <w:spacing w:before="0" w:after="0" w:line="240" w:lineRule="auto"/>
        <w:jc w:val="left"/>
      </w:pPr>
      <w:r>
        <w:rPr>
          <w:rFonts w:ascii="Times New Roman" w:hAnsi="Times New Roman" w:eastAsia="宋体"/>
          <w:b w:val="0"/>
          <w:sz w:val="21"/>
        </w:rPr>
        <w:t>下调购电量按式（12）定义。</w:t>
      </w:r>
    </w:p>
    <w:p>
      <w:pPr>
        <w:spacing w:before="40" w:after="40" w:line="240" w:lineRule="auto"/>
        <w:jc w:val="center"/>
      </w:pPr>
      <w:r>
        <w:drawing>
          <wp:inline xmlns:a="http://schemas.openxmlformats.org/drawingml/2006/main" xmlns:pic="http://schemas.openxmlformats.org/drawingml/2006/picture">
            <wp:extent cx="2167128" cy="371856"/>
            <wp:docPr id="13" name="Picture 13"/>
            <wp:cNvGraphicFramePr>
              <a:graphicFrameLocks noChangeAspect="1"/>
            </wp:cNvGraphicFramePr>
            <a:graphic>
              <a:graphicData uri="http://schemas.openxmlformats.org/drawingml/2006/picture">
                <pic:pic>
                  <pic:nvPicPr>
                    <pic:cNvPr id="0" name="problem4_eq12.png"/>
                    <pic:cNvPicPr/>
                  </pic:nvPicPr>
                  <pic:blipFill>
                    <a:blip r:embed="rId30"/>
                    <a:stretch>
                      <a:fillRect/>
                    </a:stretch>
                  </pic:blipFill>
                  <pic:spPr>
                    <a:xfrm>
                      <a:off x="0" y="0"/>
                      <a:ext cx="2167128" cy="371856"/>
                    </a:xfrm>
                    <a:prstGeom prst="rect"/>
                  </pic:spPr>
                </pic:pic>
              </a:graphicData>
            </a:graphic>
          </wp:inline>
        </w:drawing>
      </w:r>
    </w:p>
    <w:p>
      <w:pPr>
        <w:spacing w:before="0" w:after="0" w:line="240" w:lineRule="auto"/>
        <w:jc w:val="left"/>
      </w:pPr>
      <w:r>
        <w:rPr>
          <w:rFonts w:ascii="Times New Roman" w:hAnsi="Times New Roman" w:eastAsia="宋体"/>
          <w:b w:val="0"/>
          <w:sz w:val="21"/>
        </w:rPr>
        <w:t>滚动调整阶段的目标函数如式（13）所示。</w:t>
      </w:r>
    </w:p>
    <w:p>
      <w:pPr>
        <w:spacing w:before="40" w:after="40" w:line="240" w:lineRule="auto"/>
        <w:jc w:val="center"/>
      </w:pPr>
      <w:r>
        <w:drawing>
          <wp:inline xmlns:a="http://schemas.openxmlformats.org/drawingml/2006/main" xmlns:pic="http://schemas.openxmlformats.org/drawingml/2006/picture">
            <wp:extent cx="5486400" cy="503799"/>
            <wp:docPr id="14" name="Picture 14"/>
            <wp:cNvGraphicFramePr>
              <a:graphicFrameLocks noChangeAspect="1"/>
            </wp:cNvGraphicFramePr>
            <a:graphic>
              <a:graphicData uri="http://schemas.openxmlformats.org/drawingml/2006/picture">
                <pic:pic>
                  <pic:nvPicPr>
                    <pic:cNvPr id="0" name="problem4_eq13.png"/>
                    <pic:cNvPicPr/>
                  </pic:nvPicPr>
                  <pic:blipFill>
                    <a:blip r:embed="rId31"/>
                    <a:stretch>
                      <a:fillRect/>
                    </a:stretch>
                  </pic:blipFill>
                  <pic:spPr>
                    <a:xfrm>
                      <a:off x="0" y="0"/>
                      <a:ext cx="5486400" cy="503799"/>
                    </a:xfrm>
                    <a:prstGeom prst="rect"/>
                  </pic:spPr>
                </pic:pic>
              </a:graphicData>
            </a:graphic>
          </wp:inline>
        </w:drawing>
      </w:r>
    </w:p>
    <w:p>
      <w:pPr>
        <w:spacing w:before="0" w:after="0" w:line="240" w:lineRule="auto"/>
        <w:jc w:val="left"/>
      </w:pPr>
      <w:r>
        <w:rPr>
          <w:rFonts w:ascii="Times New Roman" w:hAnsi="Times New Roman" w:eastAsia="宋体"/>
          <w:b w:val="0"/>
          <w:sz w:val="21"/>
        </w:rPr>
        <w:t>式（13）中，B_s为当前时点后尚未执行的时段集合；上调部分按1.5倍实时价格购买，下调部分按0.5倍实时价格支付违约费用，并以当前实际SOC为调整初值。</w:t>
      </w:r>
    </w:p>
    <w:p>
      <w:pPr>
        <w:spacing w:before="0" w:after="0" w:line="240" w:lineRule="auto"/>
        <w:jc w:val="left"/>
      </w:pPr>
      <w:r>
        <w:rPr>
          <w:rFonts w:ascii="Times New Roman" w:hAnsi="Times New Roman" w:eastAsia="宋体"/>
          <w:b w:val="0"/>
          <w:sz w:val="21"/>
        </w:rPr>
        <w:t>实时执行阶段按未来价值函数决定放电量，如式（14）所示。</w:t>
      </w:r>
    </w:p>
    <w:p>
      <w:pPr>
        <w:spacing w:before="40" w:after="40" w:line="240" w:lineRule="auto"/>
        <w:jc w:val="center"/>
      </w:pPr>
      <w:r>
        <w:drawing>
          <wp:inline xmlns:a="http://schemas.openxmlformats.org/drawingml/2006/main" xmlns:pic="http://schemas.openxmlformats.org/drawingml/2006/picture">
            <wp:extent cx="5349240" cy="490727"/>
            <wp:docPr id="15" name="Picture 15"/>
            <wp:cNvGraphicFramePr>
              <a:graphicFrameLocks noChangeAspect="1"/>
            </wp:cNvGraphicFramePr>
            <a:graphic>
              <a:graphicData uri="http://schemas.openxmlformats.org/drawingml/2006/picture">
                <pic:pic>
                  <pic:nvPicPr>
                    <pic:cNvPr id="0" name="problem4_eq14.png"/>
                    <pic:cNvPicPr/>
                  </pic:nvPicPr>
                  <pic:blipFill>
                    <a:blip r:embed="rId32"/>
                    <a:stretch>
                      <a:fillRect/>
                    </a:stretch>
                  </pic:blipFill>
                  <pic:spPr>
                    <a:xfrm>
                      <a:off x="0" y="0"/>
                      <a:ext cx="5349240" cy="490727"/>
                    </a:xfrm>
                    <a:prstGeom prst="rect"/>
                  </pic:spPr>
                </pic:pic>
              </a:graphicData>
            </a:graphic>
          </wp:inline>
        </w:drawing>
      </w:r>
    </w:p>
    <w:p>
      <w:pPr>
        <w:spacing w:before="0" w:after="0" w:line="240" w:lineRule="auto"/>
        <w:jc w:val="left"/>
      </w:pPr>
      <w:r>
        <w:rPr>
          <w:rFonts w:ascii="Times New Roman" w:hAnsi="Times New Roman" w:eastAsia="宋体"/>
          <w:b w:val="0"/>
          <w:sz w:val="21"/>
        </w:rPr>
        <w:t>价值函数逆推的末端边界如式（15）所示。</w:t>
      </w:r>
    </w:p>
    <w:p>
      <w:pPr>
        <w:spacing w:before="40" w:after="40" w:line="240" w:lineRule="auto"/>
        <w:jc w:val="center"/>
      </w:pPr>
      <w:r>
        <w:drawing>
          <wp:inline xmlns:a="http://schemas.openxmlformats.org/drawingml/2006/main" xmlns:pic="http://schemas.openxmlformats.org/drawingml/2006/picture">
            <wp:extent cx="1600200" cy="350520"/>
            <wp:docPr id="16" name="Picture 16"/>
            <wp:cNvGraphicFramePr>
              <a:graphicFrameLocks noChangeAspect="1"/>
            </wp:cNvGraphicFramePr>
            <a:graphic>
              <a:graphicData uri="http://schemas.openxmlformats.org/drawingml/2006/picture">
                <pic:pic>
                  <pic:nvPicPr>
                    <pic:cNvPr id="0" name="problem4_eq15.png"/>
                    <pic:cNvPicPr/>
                  </pic:nvPicPr>
                  <pic:blipFill>
                    <a:blip r:embed="rId33"/>
                    <a:stretch>
                      <a:fillRect/>
                    </a:stretch>
                  </pic:blipFill>
                  <pic:spPr>
                    <a:xfrm>
                      <a:off x="0" y="0"/>
                      <a:ext cx="1600200" cy="350520"/>
                    </a:xfrm>
                    <a:prstGeom prst="rect"/>
                  </pic:spPr>
                </pic:pic>
              </a:graphicData>
            </a:graphic>
          </wp:inline>
        </w:drawing>
      </w:r>
    </w:p>
    <w:p>
      <w:pPr>
        <w:spacing w:before="0" w:after="0" w:line="240" w:lineRule="auto"/>
        <w:jc w:val="left"/>
      </w:pPr>
      <w:r>
        <w:rPr>
          <w:rFonts w:ascii="Times New Roman" w:hAnsi="Times New Roman" w:eastAsia="宋体"/>
          <w:b w:val="0"/>
          <w:sz w:val="21"/>
        </w:rPr>
        <w:t>固定购电后的实际净缺口按式（16）计算。</w:t>
      </w:r>
    </w:p>
    <w:p>
      <w:pPr>
        <w:spacing w:before="40" w:after="40" w:line="240" w:lineRule="auto"/>
        <w:jc w:val="center"/>
      </w:pPr>
      <w:r>
        <w:drawing>
          <wp:inline xmlns:a="http://schemas.openxmlformats.org/drawingml/2006/main" xmlns:pic="http://schemas.openxmlformats.org/drawingml/2006/picture">
            <wp:extent cx="2520696" cy="402336"/>
            <wp:docPr id="17" name="Picture 17"/>
            <wp:cNvGraphicFramePr>
              <a:graphicFrameLocks noChangeAspect="1"/>
            </wp:cNvGraphicFramePr>
            <a:graphic>
              <a:graphicData uri="http://schemas.openxmlformats.org/drawingml/2006/picture">
                <pic:pic>
                  <pic:nvPicPr>
                    <pic:cNvPr id="0" name="problem4_eq16.png"/>
                    <pic:cNvPicPr/>
                  </pic:nvPicPr>
                  <pic:blipFill>
                    <a:blip r:embed="rId34"/>
                    <a:stretch>
                      <a:fillRect/>
                    </a:stretch>
                  </pic:blipFill>
                  <pic:spPr>
                    <a:xfrm>
                      <a:off x="0" y="0"/>
                      <a:ext cx="2520696" cy="402336"/>
                    </a:xfrm>
                    <a:prstGeom prst="rect"/>
                  </pic:spPr>
                </pic:pic>
              </a:graphicData>
            </a:graphic>
          </wp:inline>
        </w:drawing>
      </w:r>
    </w:p>
    <w:p>
      <w:pPr>
        <w:spacing w:before="0" w:after="0" w:line="240" w:lineRule="auto"/>
        <w:jc w:val="left"/>
      </w:pPr>
      <w:r>
        <w:rPr>
          <w:rFonts w:ascii="Times New Roman" w:hAnsi="Times New Roman" w:eastAsia="宋体"/>
          <w:b w:val="0"/>
          <w:sz w:val="21"/>
        </w:rPr>
        <w:t>问题4-2的最终结算费用如式（17）所示。</w:t>
      </w:r>
    </w:p>
    <w:p>
      <w:pPr>
        <w:spacing w:before="40" w:after="40" w:line="240" w:lineRule="auto"/>
        <w:jc w:val="center"/>
      </w:pPr>
      <w:r>
        <w:drawing>
          <wp:inline xmlns:a="http://schemas.openxmlformats.org/drawingml/2006/main" xmlns:pic="http://schemas.openxmlformats.org/drawingml/2006/picture">
            <wp:extent cx="3166872" cy="560832"/>
            <wp:docPr id="18" name="Picture 18"/>
            <wp:cNvGraphicFramePr>
              <a:graphicFrameLocks noChangeAspect="1"/>
            </wp:cNvGraphicFramePr>
            <a:graphic>
              <a:graphicData uri="http://schemas.openxmlformats.org/drawingml/2006/picture">
                <pic:pic>
                  <pic:nvPicPr>
                    <pic:cNvPr id="0" name="problem4_eq17.png"/>
                    <pic:cNvPicPr/>
                  </pic:nvPicPr>
                  <pic:blipFill>
                    <a:blip r:embed="rId35"/>
                    <a:stretch>
                      <a:fillRect/>
                    </a:stretch>
                  </pic:blipFill>
                  <pic:spPr>
                    <a:xfrm>
                      <a:off x="0" y="0"/>
                      <a:ext cx="3166872" cy="560832"/>
                    </a:xfrm>
                    <a:prstGeom prst="rect"/>
                  </pic:spPr>
                </pic:pic>
              </a:graphicData>
            </a:graphic>
          </wp:inline>
        </w:drawing>
      </w:r>
    </w:p>
    <w:p>
      <w:pPr>
        <w:spacing w:before="0" w:after="0" w:line="240" w:lineRule="auto"/>
        <w:jc w:val="left"/>
      </w:pPr>
      <w:r>
        <w:rPr>
          <w:rFonts w:ascii="Times New Roman" w:hAnsi="Times New Roman" w:eastAsia="宋体"/>
          <w:b w:val="0"/>
          <w:sz w:val="21"/>
        </w:rPr>
        <w:t>问题4-3的最终结算费用如式（18）所示。</w:t>
      </w:r>
    </w:p>
    <w:p>
      <w:pPr>
        <w:spacing w:before="40" w:after="40" w:line="240" w:lineRule="auto"/>
        <w:jc w:val="center"/>
      </w:pPr>
      <w:r>
        <w:drawing>
          <wp:inline xmlns:a="http://schemas.openxmlformats.org/drawingml/2006/main" xmlns:pic="http://schemas.openxmlformats.org/drawingml/2006/picture">
            <wp:extent cx="5486400" cy="524142"/>
            <wp:docPr id="19" name="Picture 19"/>
            <wp:cNvGraphicFramePr>
              <a:graphicFrameLocks noChangeAspect="1"/>
            </wp:cNvGraphicFramePr>
            <a:graphic>
              <a:graphicData uri="http://schemas.openxmlformats.org/drawingml/2006/picture">
                <pic:pic>
                  <pic:nvPicPr>
                    <pic:cNvPr id="0" name="problem4_eq18.png"/>
                    <pic:cNvPicPr/>
                  </pic:nvPicPr>
                  <pic:blipFill>
                    <a:blip r:embed="rId36"/>
                    <a:stretch>
                      <a:fillRect/>
                    </a:stretch>
                  </pic:blipFill>
                  <pic:spPr>
                    <a:xfrm>
                      <a:off x="0" y="0"/>
                      <a:ext cx="5486400" cy="524142"/>
                    </a:xfrm>
                    <a:prstGeom prst="rect"/>
                  </pic:spPr>
                </pic:pic>
              </a:graphicData>
            </a:graphic>
          </wp:inline>
        </w:drawing>
      </w:r>
    </w:p>
    <w:p>
      <w:pPr>
        <w:spacing w:before="0" w:after="0" w:line="240" w:lineRule="auto"/>
        <w:jc w:val="left"/>
      </w:pPr>
      <w:r>
        <w:rPr>
          <w:rFonts w:ascii="Times New Roman" w:hAnsi="Times New Roman" w:eastAsia="宋体"/>
          <w:b w:val="0"/>
          <w:sz w:val="21"/>
        </w:rPr>
        <w:t>式（14）至式（18）中，(x)^+=max(x,0)，问题4-2以g_t替代q_t；实时价值函数在当前放电收益与未来库存价值之间进行权衡，结算均使用附件4实际实时电价。</w:t>
      </w:r>
    </w:p>
    <w:p>
      <w:pPr>
        <w:spacing w:before="0" w:after="0" w:line="240" w:lineRule="auto"/>
        <w:jc w:val="left"/>
      </w:pPr>
      <w:r>
        <w:rPr>
          <w:rFonts w:ascii="Times New Roman" w:hAnsi="Times New Roman" w:eastAsia="宋体"/>
          <w:b/>
          <w:sz w:val="21"/>
        </w:rPr>
        <w:t>8.3 模型求解与结果分析</w:t>
      </w:r>
    </w:p>
    <w:p>
      <w:pPr>
        <w:spacing w:before="0" w:after="0" w:line="240" w:lineRule="auto"/>
        <w:jc w:val="left"/>
      </w:pPr>
      <w:r>
        <w:rPr>
          <w:rFonts w:ascii="Times New Roman" w:hAnsi="Times New Roman" w:eastAsia="宋体"/>
          <w:b/>
          <w:sz w:val="21"/>
        </w:rPr>
        <w:t>8.3.1 模型求解流程</w:t>
      </w:r>
    </w:p>
    <w:p>
      <w:pPr>
        <w:spacing w:before="0" w:after="0" w:line="240" w:lineRule="auto"/>
        <w:jc w:val="left"/>
      </w:pPr>
      <w:r>
        <w:rPr>
          <w:rFonts w:ascii="Times New Roman" w:hAnsi="Times New Roman" w:eastAsia="宋体"/>
          <w:b w:val="0"/>
          <w:sz w:val="21"/>
        </w:rPr>
        <w:t>模型按五步逐日滚动求解。第一步，读取附件并构造5个等概率历史联合情景；第二步，0:00求解式（3）得到共享计划购电量g_t；第三步，6:00、12:00、18:00根据已观察价格和最新预报调整未执行时段的q_t；第四步，逐10分钟执行储能并根据式（14）选择放电量；第五步，日末传递SOC并按式（17）、式（18）使用实际电价结算。</w:t>
      </w:r>
    </w:p>
    <w:p>
      <w:pPr>
        <w:spacing w:before="0" w:after="0" w:line="240" w:lineRule="auto"/>
        <w:jc w:val="left"/>
      </w:pPr>
      <w:r>
        <w:rPr>
          <w:rFonts w:ascii="Times New Roman" w:hAnsi="Times New Roman" w:eastAsia="宋体"/>
          <w:b/>
          <w:sz w:val="21"/>
        </w:rPr>
        <w:t>8.3.2 结果展示</w:t>
      </w:r>
    </w:p>
    <w:p>
      <w:pPr>
        <w:spacing w:before="0" w:after="0" w:line="240" w:lineRule="auto"/>
        <w:jc w:val="left"/>
      </w:pPr>
      <w:r>
        <w:rPr>
          <w:rFonts w:ascii="Times New Roman" w:hAnsi="Times New Roman" w:eastAsia="宋体"/>
          <w:b w:val="0"/>
          <w:sz w:val="21"/>
        </w:rPr>
        <w:t>全年输出期汇总结果如表1所示。</w:t>
      </w:r>
    </w:p>
    <w:p>
      <w:pPr>
        <w:spacing w:before="0" w:after="0" w:line="240" w:lineRule="auto"/>
        <w:jc w:val="center"/>
      </w:pPr>
      <w:r>
        <w:rPr>
          <w:rFonts w:ascii="Times New Roman" w:hAnsi="Times New Roman" w:eastAsia="宋体"/>
          <w:b/>
          <w:sz w:val="21"/>
        </w:rPr>
        <w:t>表1 输出期汇总结果</w:t>
      </w:r>
    </w:p>
    <w:tbl>
      <w:tblPr>
        <w:tblStyle w:val="TableGrid"/>
        <w:tblW w:type="auto" w:w="0"/>
        <w:jc w:val="center"/>
        <w:tblLayout w:type="fixed"/>
        <w:tblLook w:firstColumn="1" w:firstRow="1" w:lastColumn="0" w:lastRow="0" w:noHBand="0" w:noVBand="1" w:val="04A0"/>
      </w:tblPr>
      <w:tblGrid>
        <w:gridCol w:w="2160"/>
        <w:gridCol w:w="2160"/>
        <w:gridCol w:w="2160"/>
        <w:gridCol w:w="2160"/>
      </w:tblGrid>
      <w:tr>
        <w:trPr>
          <w:tblHeader w:val="true"/>
          <w:cantSplit/>
        </w:trPr>
        <w:tc>
          <w:tcPr>
            <w:tcW w:type="dxa" w:w="2232"/>
            <w:vAlign w:val="center"/>
          </w:tcPr>
          <w:p>
            <w:pPr>
              <w:spacing w:before="0" w:after="0" w:line="240" w:lineRule="auto"/>
              <w:jc w:val="center"/>
            </w:pPr>
            <w:r/>
            <w:r>
              <w:rPr>
                <w:rFonts w:ascii="Times New Roman" w:hAnsi="Times New Roman" w:eastAsia="宋体"/>
                <w:b/>
                <w:sz w:val="21"/>
              </w:rPr>
              <w:t>指标</w:t>
            </w:r>
          </w:p>
        </w:tc>
        <w:tc>
          <w:tcPr>
            <w:tcW w:type="dxa" w:w="2232"/>
            <w:vAlign w:val="center"/>
          </w:tcPr>
          <w:p>
            <w:pPr>
              <w:spacing w:before="0" w:after="0" w:line="240" w:lineRule="auto"/>
              <w:jc w:val="center"/>
            </w:pPr>
            <w:r/>
            <w:r>
              <w:rPr>
                <w:rFonts w:ascii="Times New Roman" w:hAnsi="Times New Roman" w:eastAsia="宋体"/>
                <w:b/>
                <w:sz w:val="21"/>
              </w:rPr>
              <w:t>问题4-2</w:t>
            </w:r>
          </w:p>
        </w:tc>
        <w:tc>
          <w:tcPr>
            <w:tcW w:type="dxa" w:w="2232"/>
            <w:vAlign w:val="center"/>
          </w:tcPr>
          <w:p>
            <w:pPr>
              <w:spacing w:before="0" w:after="0" w:line="240" w:lineRule="auto"/>
              <w:jc w:val="center"/>
            </w:pPr>
            <w:r/>
            <w:r>
              <w:rPr>
                <w:rFonts w:ascii="Times New Roman" w:hAnsi="Times New Roman" w:eastAsia="宋体"/>
                <w:b/>
                <w:sz w:val="21"/>
              </w:rPr>
              <w:t>问题4-3</w:t>
            </w:r>
          </w:p>
        </w:tc>
        <w:tc>
          <w:tcPr>
            <w:tcW w:type="dxa" w:w="1080"/>
            <w:vAlign w:val="center"/>
          </w:tcPr>
          <w:p>
            <w:pPr>
              <w:spacing w:before="0" w:after="0" w:line="240" w:lineRule="auto"/>
              <w:jc w:val="center"/>
            </w:pPr>
            <w:r/>
            <w:r>
              <w:rPr>
                <w:rFonts w:ascii="Times New Roman" w:hAnsi="Times New Roman" w:eastAsia="宋体"/>
                <w:b/>
                <w:sz w:val="21"/>
              </w:rPr>
              <w:t>单位</w:t>
            </w:r>
          </w:p>
        </w:tc>
      </w:tr>
      <w:tr>
        <w:trPr>
          <w:cantSplit/>
        </w:trPr>
        <w:tc>
          <w:tcPr>
            <w:tcW w:type="dxa" w:w="2232"/>
            <w:vAlign w:val="center"/>
          </w:tcPr>
          <w:p>
            <w:pPr>
              <w:spacing w:before="0" w:after="0" w:line="240" w:lineRule="auto"/>
              <w:jc w:val="center"/>
            </w:pPr>
            <w:r/>
            <w:r>
              <w:rPr>
                <w:rFonts w:ascii="Times New Roman" w:hAnsi="Times New Roman" w:eastAsia="宋体"/>
                <w:b w:val="0"/>
                <w:sz w:val="21"/>
              </w:rPr>
              <w:t>计划购电量</w:t>
            </w:r>
          </w:p>
        </w:tc>
        <w:tc>
          <w:tcPr>
            <w:tcW w:type="dxa" w:w="2232"/>
            <w:vAlign w:val="center"/>
          </w:tcPr>
          <w:p>
            <w:pPr>
              <w:spacing w:before="0" w:after="0" w:line="240" w:lineRule="auto"/>
              <w:jc w:val="center"/>
            </w:pPr>
            <w:r/>
            <w:r>
              <w:rPr>
                <w:rFonts w:ascii="Times New Roman" w:hAnsi="Times New Roman" w:eastAsia="宋体"/>
                <w:b w:val="0"/>
                <w:sz w:val="21"/>
              </w:rPr>
              <w:t>21084870.830584</w:t>
            </w:r>
          </w:p>
        </w:tc>
        <w:tc>
          <w:tcPr>
            <w:tcW w:type="dxa" w:w="2232"/>
            <w:vAlign w:val="center"/>
          </w:tcPr>
          <w:p>
            <w:pPr>
              <w:spacing w:before="0" w:after="0" w:line="240" w:lineRule="auto"/>
              <w:jc w:val="center"/>
            </w:pPr>
            <w:r/>
            <w:r>
              <w:rPr>
                <w:rFonts w:ascii="Times New Roman" w:hAnsi="Times New Roman" w:eastAsia="宋体"/>
                <w:b w:val="0"/>
                <w:sz w:val="21"/>
              </w:rPr>
              <w:t>21059204.845156</w:t>
            </w:r>
          </w:p>
        </w:tc>
        <w:tc>
          <w:tcPr>
            <w:tcW w:type="dxa" w:w="1080"/>
            <w:vAlign w:val="center"/>
          </w:tcPr>
          <w:p>
            <w:pPr>
              <w:spacing w:before="0" w:after="0" w:line="240" w:lineRule="auto"/>
              <w:jc w:val="center"/>
            </w:pPr>
            <w:r/>
            <w:r>
              <w:rPr>
                <w:rFonts w:ascii="Times New Roman" w:hAnsi="Times New Roman" w:eastAsia="宋体"/>
                <w:b w:val="0"/>
                <w:sz w:val="21"/>
              </w:rPr>
              <w:t>kWh</w:t>
            </w:r>
          </w:p>
        </w:tc>
      </w:tr>
      <w:tr>
        <w:trPr>
          <w:cantSplit/>
        </w:trPr>
        <w:tc>
          <w:tcPr>
            <w:tcW w:type="dxa" w:w="2232"/>
            <w:vAlign w:val="center"/>
          </w:tcPr>
          <w:p>
            <w:pPr>
              <w:spacing w:before="0" w:after="0" w:line="240" w:lineRule="auto"/>
              <w:jc w:val="center"/>
            </w:pPr>
            <w:r/>
            <w:r>
              <w:rPr>
                <w:rFonts w:ascii="Times New Roman" w:hAnsi="Times New Roman" w:eastAsia="宋体"/>
                <w:b w:val="0"/>
                <w:sz w:val="21"/>
              </w:rPr>
              <w:t>调整购电量</w:t>
            </w:r>
          </w:p>
        </w:tc>
        <w:tc>
          <w:tcPr>
            <w:tcW w:type="dxa" w:w="2232"/>
            <w:vAlign w:val="center"/>
          </w:tcPr>
          <w:p>
            <w:pPr>
              <w:spacing w:before="0" w:after="0" w:line="240" w:lineRule="auto"/>
              <w:jc w:val="center"/>
            </w:pPr>
            <w:r/>
            <w:r>
              <w:rPr>
                <w:rFonts w:ascii="Times New Roman" w:hAnsi="Times New Roman" w:eastAsia="宋体"/>
                <w:b w:val="0"/>
                <w:sz w:val="21"/>
              </w:rPr>
              <w:t>-</w:t>
            </w:r>
          </w:p>
        </w:tc>
        <w:tc>
          <w:tcPr>
            <w:tcW w:type="dxa" w:w="2232"/>
            <w:vAlign w:val="center"/>
          </w:tcPr>
          <w:p>
            <w:pPr>
              <w:spacing w:before="0" w:after="0" w:line="240" w:lineRule="auto"/>
              <w:jc w:val="center"/>
            </w:pPr>
            <w:r/>
            <w:r>
              <w:rPr>
                <w:rFonts w:ascii="Times New Roman" w:hAnsi="Times New Roman" w:eastAsia="宋体"/>
                <w:b w:val="0"/>
                <w:sz w:val="21"/>
              </w:rPr>
              <w:t>21277381.128315</w:t>
            </w:r>
          </w:p>
        </w:tc>
        <w:tc>
          <w:tcPr>
            <w:tcW w:type="dxa" w:w="1080"/>
            <w:vAlign w:val="center"/>
          </w:tcPr>
          <w:p>
            <w:pPr>
              <w:spacing w:before="0" w:after="0" w:line="240" w:lineRule="auto"/>
              <w:jc w:val="center"/>
            </w:pPr>
            <w:r/>
            <w:r>
              <w:rPr>
                <w:rFonts w:ascii="Times New Roman" w:hAnsi="Times New Roman" w:eastAsia="宋体"/>
                <w:b w:val="0"/>
                <w:sz w:val="21"/>
              </w:rPr>
              <w:t>kWh</w:t>
            </w:r>
          </w:p>
        </w:tc>
      </w:tr>
      <w:tr>
        <w:trPr>
          <w:cantSplit/>
        </w:trPr>
        <w:tc>
          <w:tcPr>
            <w:tcW w:type="dxa" w:w="2232"/>
            <w:vAlign w:val="center"/>
          </w:tcPr>
          <w:p>
            <w:pPr>
              <w:spacing w:before="0" w:after="0" w:line="240" w:lineRule="auto"/>
              <w:jc w:val="center"/>
            </w:pPr>
            <w:r/>
            <w:r>
              <w:rPr>
                <w:rFonts w:ascii="Times New Roman" w:hAnsi="Times New Roman" w:eastAsia="宋体"/>
                <w:b w:val="0"/>
                <w:sz w:val="21"/>
              </w:rPr>
              <w:t>紧急购电量</w:t>
            </w:r>
          </w:p>
        </w:tc>
        <w:tc>
          <w:tcPr>
            <w:tcW w:type="dxa" w:w="2232"/>
            <w:vAlign w:val="center"/>
          </w:tcPr>
          <w:p>
            <w:pPr>
              <w:spacing w:before="0" w:after="0" w:line="240" w:lineRule="auto"/>
              <w:jc w:val="center"/>
            </w:pPr>
            <w:r/>
            <w:r>
              <w:rPr>
                <w:rFonts w:ascii="Times New Roman" w:hAnsi="Times New Roman" w:eastAsia="宋体"/>
                <w:b w:val="0"/>
                <w:sz w:val="21"/>
              </w:rPr>
              <w:t>198238.462926</w:t>
            </w:r>
          </w:p>
        </w:tc>
        <w:tc>
          <w:tcPr>
            <w:tcW w:type="dxa" w:w="2232"/>
            <w:vAlign w:val="center"/>
          </w:tcPr>
          <w:p>
            <w:pPr>
              <w:spacing w:before="0" w:after="0" w:line="240" w:lineRule="auto"/>
              <w:jc w:val="center"/>
            </w:pPr>
            <w:r/>
            <w:r>
              <w:rPr>
                <w:rFonts w:ascii="Times New Roman" w:hAnsi="Times New Roman" w:eastAsia="宋体"/>
                <w:b w:val="0"/>
                <w:sz w:val="21"/>
              </w:rPr>
              <w:t>40104.456175</w:t>
            </w:r>
          </w:p>
        </w:tc>
        <w:tc>
          <w:tcPr>
            <w:tcW w:type="dxa" w:w="1080"/>
            <w:vAlign w:val="center"/>
          </w:tcPr>
          <w:p>
            <w:pPr>
              <w:spacing w:before="0" w:after="0" w:line="240" w:lineRule="auto"/>
              <w:jc w:val="center"/>
            </w:pPr>
            <w:r/>
            <w:r>
              <w:rPr>
                <w:rFonts w:ascii="Times New Roman" w:hAnsi="Times New Roman" w:eastAsia="宋体"/>
                <w:b w:val="0"/>
                <w:sz w:val="21"/>
              </w:rPr>
              <w:t>kWh</w:t>
            </w:r>
          </w:p>
        </w:tc>
      </w:tr>
      <w:tr>
        <w:trPr>
          <w:cantSplit/>
        </w:trPr>
        <w:tc>
          <w:tcPr>
            <w:tcW w:type="dxa" w:w="2232"/>
            <w:vAlign w:val="center"/>
          </w:tcPr>
          <w:p>
            <w:pPr>
              <w:spacing w:before="0" w:after="0" w:line="240" w:lineRule="auto"/>
              <w:jc w:val="center"/>
            </w:pPr>
            <w:r/>
            <w:r>
              <w:rPr>
                <w:rFonts w:ascii="Times New Roman" w:hAnsi="Times New Roman" w:eastAsia="宋体"/>
                <w:b w:val="0"/>
                <w:sz w:val="21"/>
              </w:rPr>
              <w:t>计划购电费</w:t>
            </w:r>
          </w:p>
        </w:tc>
        <w:tc>
          <w:tcPr>
            <w:tcW w:type="dxa" w:w="2232"/>
            <w:vAlign w:val="center"/>
          </w:tcPr>
          <w:p>
            <w:pPr>
              <w:spacing w:before="0" w:after="0" w:line="240" w:lineRule="auto"/>
              <w:jc w:val="center"/>
            </w:pPr>
            <w:r/>
            <w:r>
              <w:rPr>
                <w:rFonts w:ascii="Times New Roman" w:hAnsi="Times New Roman" w:eastAsia="宋体"/>
                <w:b w:val="0"/>
                <w:sz w:val="21"/>
              </w:rPr>
              <w:t>13904893.470433</w:t>
            </w:r>
          </w:p>
        </w:tc>
        <w:tc>
          <w:tcPr>
            <w:tcW w:type="dxa" w:w="2232"/>
            <w:vAlign w:val="center"/>
          </w:tcPr>
          <w:p>
            <w:pPr>
              <w:spacing w:before="0" w:after="0" w:line="240" w:lineRule="auto"/>
              <w:jc w:val="center"/>
            </w:pPr>
            <w:r/>
            <w:r>
              <w:rPr>
                <w:rFonts w:ascii="Times New Roman" w:hAnsi="Times New Roman" w:eastAsia="宋体"/>
                <w:b w:val="0"/>
                <w:sz w:val="21"/>
              </w:rPr>
              <w:t>13893960.083596</w:t>
            </w:r>
          </w:p>
        </w:tc>
        <w:tc>
          <w:tcPr>
            <w:tcW w:type="dxa" w:w="1080"/>
            <w:vAlign w:val="center"/>
          </w:tcPr>
          <w:p>
            <w:pPr>
              <w:spacing w:before="0" w:after="0" w:line="240" w:lineRule="auto"/>
              <w:jc w:val="center"/>
            </w:pPr>
            <w:r/>
            <w:r>
              <w:rPr>
                <w:rFonts w:ascii="Times New Roman" w:hAnsi="Times New Roman" w:eastAsia="宋体"/>
                <w:b w:val="0"/>
                <w:sz w:val="21"/>
              </w:rPr>
              <w:t>元</w:t>
            </w:r>
          </w:p>
        </w:tc>
      </w:tr>
      <w:tr>
        <w:trPr>
          <w:cantSplit/>
        </w:trPr>
        <w:tc>
          <w:tcPr>
            <w:tcW w:type="dxa" w:w="2232"/>
            <w:vAlign w:val="center"/>
          </w:tcPr>
          <w:p>
            <w:pPr>
              <w:spacing w:before="0" w:after="0" w:line="240" w:lineRule="auto"/>
              <w:jc w:val="center"/>
            </w:pPr>
            <w:r/>
            <w:r>
              <w:rPr>
                <w:rFonts w:ascii="Times New Roman" w:hAnsi="Times New Roman" w:eastAsia="宋体"/>
                <w:b w:val="0"/>
                <w:sz w:val="21"/>
              </w:rPr>
              <w:t>调整费用</w:t>
            </w:r>
          </w:p>
        </w:tc>
        <w:tc>
          <w:tcPr>
            <w:tcW w:type="dxa" w:w="2232"/>
            <w:vAlign w:val="center"/>
          </w:tcPr>
          <w:p>
            <w:pPr>
              <w:spacing w:before="0" w:after="0" w:line="240" w:lineRule="auto"/>
              <w:jc w:val="center"/>
            </w:pPr>
            <w:r/>
            <w:r>
              <w:rPr>
                <w:rFonts w:ascii="Times New Roman" w:hAnsi="Times New Roman" w:eastAsia="宋体"/>
                <w:b w:val="0"/>
                <w:sz w:val="21"/>
              </w:rPr>
              <w:t>0.000000</w:t>
            </w:r>
          </w:p>
        </w:tc>
        <w:tc>
          <w:tcPr>
            <w:tcW w:type="dxa" w:w="2232"/>
            <w:vAlign w:val="center"/>
          </w:tcPr>
          <w:p>
            <w:pPr>
              <w:spacing w:before="0" w:after="0" w:line="240" w:lineRule="auto"/>
              <w:jc w:val="center"/>
            </w:pPr>
            <w:r/>
            <w:r>
              <w:rPr>
                <w:rFonts w:ascii="Times New Roman" w:hAnsi="Times New Roman" w:eastAsia="宋体"/>
                <w:b w:val="0"/>
                <w:sz w:val="21"/>
              </w:rPr>
              <w:t>369082.854104</w:t>
            </w:r>
          </w:p>
        </w:tc>
        <w:tc>
          <w:tcPr>
            <w:tcW w:type="dxa" w:w="1080"/>
            <w:vAlign w:val="center"/>
          </w:tcPr>
          <w:p>
            <w:pPr>
              <w:spacing w:before="0" w:after="0" w:line="240" w:lineRule="auto"/>
              <w:jc w:val="center"/>
            </w:pPr>
            <w:r/>
            <w:r>
              <w:rPr>
                <w:rFonts w:ascii="Times New Roman" w:hAnsi="Times New Roman" w:eastAsia="宋体"/>
                <w:b w:val="0"/>
                <w:sz w:val="21"/>
              </w:rPr>
              <w:t>元</w:t>
            </w:r>
          </w:p>
        </w:tc>
      </w:tr>
      <w:tr>
        <w:trPr>
          <w:cantSplit/>
        </w:trPr>
        <w:tc>
          <w:tcPr>
            <w:tcW w:type="dxa" w:w="2232"/>
            <w:vAlign w:val="center"/>
          </w:tcPr>
          <w:p>
            <w:pPr>
              <w:spacing w:before="0" w:after="0" w:line="240" w:lineRule="auto"/>
              <w:jc w:val="center"/>
            </w:pPr>
            <w:r/>
            <w:r>
              <w:rPr>
                <w:rFonts w:ascii="Times New Roman" w:hAnsi="Times New Roman" w:eastAsia="宋体"/>
                <w:b w:val="0"/>
                <w:sz w:val="21"/>
              </w:rPr>
              <w:t>紧急购电费</w:t>
            </w:r>
          </w:p>
        </w:tc>
        <w:tc>
          <w:tcPr>
            <w:tcW w:type="dxa" w:w="2232"/>
            <w:vAlign w:val="center"/>
          </w:tcPr>
          <w:p>
            <w:pPr>
              <w:spacing w:before="0" w:after="0" w:line="240" w:lineRule="auto"/>
              <w:jc w:val="center"/>
            </w:pPr>
            <w:r/>
            <w:r>
              <w:rPr>
                <w:rFonts w:ascii="Times New Roman" w:hAnsi="Times New Roman" w:eastAsia="宋体"/>
                <w:b w:val="0"/>
                <w:sz w:val="21"/>
              </w:rPr>
              <w:t>1223099.083975</w:t>
            </w:r>
          </w:p>
        </w:tc>
        <w:tc>
          <w:tcPr>
            <w:tcW w:type="dxa" w:w="2232"/>
            <w:vAlign w:val="center"/>
          </w:tcPr>
          <w:p>
            <w:pPr>
              <w:spacing w:before="0" w:after="0" w:line="240" w:lineRule="auto"/>
              <w:jc w:val="center"/>
            </w:pPr>
            <w:r/>
            <w:r>
              <w:rPr>
                <w:rFonts w:ascii="Times New Roman" w:hAnsi="Times New Roman" w:eastAsia="宋体"/>
                <w:b w:val="0"/>
                <w:sz w:val="21"/>
              </w:rPr>
              <w:t>228422.327447</w:t>
            </w:r>
          </w:p>
        </w:tc>
        <w:tc>
          <w:tcPr>
            <w:tcW w:type="dxa" w:w="1080"/>
            <w:vAlign w:val="center"/>
          </w:tcPr>
          <w:p>
            <w:pPr>
              <w:spacing w:before="0" w:after="0" w:line="240" w:lineRule="auto"/>
              <w:jc w:val="center"/>
            </w:pPr>
            <w:r/>
            <w:r>
              <w:rPr>
                <w:rFonts w:ascii="Times New Roman" w:hAnsi="Times New Roman" w:eastAsia="宋体"/>
                <w:b w:val="0"/>
                <w:sz w:val="21"/>
              </w:rPr>
              <w:t>元</w:t>
            </w:r>
          </w:p>
        </w:tc>
      </w:tr>
      <w:tr>
        <w:trPr>
          <w:cantSplit/>
        </w:trPr>
        <w:tc>
          <w:tcPr>
            <w:tcW w:type="dxa" w:w="2232"/>
            <w:vAlign w:val="center"/>
          </w:tcPr>
          <w:p>
            <w:pPr>
              <w:spacing w:before="0" w:after="0" w:line="240" w:lineRule="auto"/>
              <w:jc w:val="center"/>
            </w:pPr>
            <w:r/>
            <w:r>
              <w:rPr>
                <w:rFonts w:ascii="Times New Roman" w:hAnsi="Times New Roman" w:eastAsia="宋体"/>
                <w:b w:val="0"/>
                <w:sz w:val="21"/>
              </w:rPr>
              <w:t>总费用</w:t>
            </w:r>
          </w:p>
        </w:tc>
        <w:tc>
          <w:tcPr>
            <w:tcW w:type="dxa" w:w="2232"/>
            <w:vAlign w:val="center"/>
          </w:tcPr>
          <w:p>
            <w:pPr>
              <w:spacing w:before="0" w:after="0" w:line="240" w:lineRule="auto"/>
              <w:jc w:val="center"/>
            </w:pPr>
            <w:r/>
            <w:r>
              <w:rPr>
                <w:rFonts w:ascii="Times New Roman" w:hAnsi="Times New Roman" w:eastAsia="宋体"/>
                <w:b w:val="0"/>
                <w:sz w:val="21"/>
              </w:rPr>
              <w:t>15127992.554408</w:t>
            </w:r>
          </w:p>
        </w:tc>
        <w:tc>
          <w:tcPr>
            <w:tcW w:type="dxa" w:w="2232"/>
            <w:vAlign w:val="center"/>
          </w:tcPr>
          <w:p>
            <w:pPr>
              <w:spacing w:before="0" w:after="0" w:line="240" w:lineRule="auto"/>
              <w:jc w:val="center"/>
            </w:pPr>
            <w:r/>
            <w:r>
              <w:rPr>
                <w:rFonts w:ascii="Times New Roman" w:hAnsi="Times New Roman" w:eastAsia="宋体"/>
                <w:b w:val="0"/>
                <w:sz w:val="21"/>
              </w:rPr>
              <w:t>14491465.265148</w:t>
            </w:r>
          </w:p>
        </w:tc>
        <w:tc>
          <w:tcPr>
            <w:tcW w:type="dxa" w:w="1080"/>
            <w:vAlign w:val="center"/>
          </w:tcPr>
          <w:p>
            <w:pPr>
              <w:spacing w:before="0" w:after="0" w:line="240" w:lineRule="auto"/>
              <w:jc w:val="center"/>
            </w:pPr>
            <w:r/>
            <w:r>
              <w:rPr>
                <w:rFonts w:ascii="Times New Roman" w:hAnsi="Times New Roman" w:eastAsia="宋体"/>
                <w:b w:val="0"/>
                <w:sz w:val="21"/>
              </w:rPr>
              <w:t>元</w:t>
            </w:r>
          </w:p>
        </w:tc>
      </w:tr>
    </w:tbl>
    <w:p>
      <w:pPr>
        <w:spacing w:before="0" w:after="0" w:line="240" w:lineRule="auto"/>
        <w:jc w:val="left"/>
      </w:pPr>
      <w:r>
        <w:rPr>
          <w:rFonts w:ascii="Times New Roman" w:hAnsi="Times New Roman" w:eastAsia="宋体"/>
          <w:b w:val="0"/>
          <w:sz w:val="21"/>
        </w:rPr>
        <w:t>问题4-3总费用低于问题4-2，且紧急购电量降至40104.456175 kWh。四个指定日期的费用和紧急购电结果见表2，图2至图4分别展示购电调整、储能运行及两方案费用对比。</w:t>
      </w:r>
    </w:p>
    <w:p>
      <w:pPr>
        <w:spacing w:before="0" w:after="0" w:line="240" w:lineRule="auto"/>
        <w:jc w:val="center"/>
      </w:pPr>
      <w:r>
        <w:rPr>
          <w:rFonts w:ascii="Times New Roman" w:hAnsi="Times New Roman" w:eastAsia="宋体"/>
          <w:b/>
          <w:sz w:val="21"/>
        </w:rPr>
        <w:t>表2 指定日期关键结果</w:t>
      </w:r>
    </w:p>
    <w:tbl>
      <w:tblPr>
        <w:tblStyle w:val="TableGrid"/>
        <w:tblW w:type="auto" w:w="0"/>
        <w:jc w:val="center"/>
        <w:tblLayout w:type="fixed"/>
        <w:tblLook w:firstColumn="1" w:firstRow="1" w:lastColumn="0" w:lastRow="0" w:noHBand="0" w:noVBand="1" w:val="04A0"/>
      </w:tblPr>
      <w:tblGrid>
        <w:gridCol w:w="1728"/>
        <w:gridCol w:w="1728"/>
        <w:gridCol w:w="1728"/>
        <w:gridCol w:w="1728"/>
        <w:gridCol w:w="1728"/>
      </w:tblGrid>
      <w:tr>
        <w:trPr>
          <w:tblHeader w:val="true"/>
          <w:cantSplit/>
        </w:trPr>
        <w:tc>
          <w:tcPr>
            <w:tcW w:type="dxa" w:w="1368"/>
            <w:vAlign w:val="center"/>
          </w:tcPr>
          <w:p>
            <w:pPr>
              <w:spacing w:before="0" w:after="0" w:line="240" w:lineRule="auto"/>
              <w:jc w:val="center"/>
            </w:pPr>
            <w:r/>
            <w:r>
              <w:rPr>
                <w:rFonts w:ascii="Times New Roman" w:hAnsi="Times New Roman" w:eastAsia="宋体"/>
                <w:b/>
                <w:sz w:val="18"/>
              </w:rPr>
              <w:t>日期</w:t>
            </w:r>
          </w:p>
        </w:tc>
        <w:tc>
          <w:tcPr>
            <w:tcW w:type="dxa" w:w="1800"/>
            <w:vAlign w:val="center"/>
          </w:tcPr>
          <w:p>
            <w:pPr>
              <w:spacing w:before="0" w:after="0" w:line="240" w:lineRule="auto"/>
              <w:jc w:val="center"/>
            </w:pPr>
            <w:r/>
            <w:r>
              <w:rPr>
                <w:rFonts w:ascii="Times New Roman" w:hAnsi="Times New Roman" w:eastAsia="宋体"/>
                <w:b/>
                <w:sz w:val="18"/>
              </w:rPr>
              <w:t>问题4-2总费用/元</w:t>
            </w:r>
          </w:p>
        </w:tc>
        <w:tc>
          <w:tcPr>
            <w:tcW w:type="dxa" w:w="1800"/>
            <w:vAlign w:val="center"/>
          </w:tcPr>
          <w:p>
            <w:pPr>
              <w:spacing w:before="0" w:after="0" w:line="240" w:lineRule="auto"/>
              <w:jc w:val="center"/>
            </w:pPr>
            <w:r/>
            <w:r>
              <w:rPr>
                <w:rFonts w:ascii="Times New Roman" w:hAnsi="Times New Roman" w:eastAsia="宋体"/>
                <w:b/>
                <w:sz w:val="18"/>
              </w:rPr>
              <w:t>问题4-3总费用/元</w:t>
            </w:r>
          </w:p>
        </w:tc>
        <w:tc>
          <w:tcPr>
            <w:tcW w:type="dxa" w:w="1944"/>
            <w:vAlign w:val="center"/>
          </w:tcPr>
          <w:p>
            <w:pPr>
              <w:spacing w:before="0" w:after="0" w:line="240" w:lineRule="auto"/>
              <w:jc w:val="center"/>
            </w:pPr>
            <w:r/>
            <w:r>
              <w:rPr>
                <w:rFonts w:ascii="Times New Roman" w:hAnsi="Times New Roman" w:eastAsia="宋体"/>
                <w:b/>
                <w:sz w:val="18"/>
              </w:rPr>
              <w:t>4-3调整购电量/kWh</w:t>
            </w:r>
          </w:p>
        </w:tc>
        <w:tc>
          <w:tcPr>
            <w:tcW w:type="dxa" w:w="1728"/>
            <w:vAlign w:val="center"/>
          </w:tcPr>
          <w:p>
            <w:pPr>
              <w:spacing w:before="0" w:after="0" w:line="240" w:lineRule="auto"/>
              <w:jc w:val="center"/>
            </w:pPr>
            <w:r/>
            <w:r>
              <w:rPr>
                <w:rFonts w:ascii="Times New Roman" w:hAnsi="Times New Roman" w:eastAsia="宋体"/>
                <w:b/>
                <w:sz w:val="18"/>
              </w:rPr>
              <w:t>4-3紧急购电量/kWh</w:t>
            </w:r>
          </w:p>
        </w:tc>
      </w:tr>
      <w:tr>
        <w:trPr>
          <w:cantSplit/>
        </w:trPr>
        <w:tc>
          <w:tcPr>
            <w:tcW w:type="dxa" w:w="1368"/>
            <w:vAlign w:val="center"/>
          </w:tcPr>
          <w:p>
            <w:pPr>
              <w:spacing w:before="0" w:after="0" w:line="240" w:lineRule="auto"/>
              <w:jc w:val="center"/>
            </w:pPr>
            <w:r/>
            <w:r>
              <w:rPr>
                <w:rFonts w:ascii="Times New Roman" w:hAnsi="Times New Roman" w:eastAsia="宋体"/>
                <w:b w:val="0"/>
                <w:sz w:val="18"/>
              </w:rPr>
              <w:t>2025-03-20</w:t>
            </w:r>
          </w:p>
        </w:tc>
        <w:tc>
          <w:tcPr>
            <w:tcW w:type="dxa" w:w="1800"/>
            <w:vAlign w:val="center"/>
          </w:tcPr>
          <w:p>
            <w:pPr>
              <w:spacing w:before="0" w:after="0" w:line="240" w:lineRule="auto"/>
              <w:jc w:val="center"/>
            </w:pPr>
            <w:r/>
            <w:r>
              <w:rPr>
                <w:rFonts w:ascii="Times New Roman" w:hAnsi="Times New Roman" w:eastAsia="宋体"/>
                <w:b w:val="0"/>
                <w:sz w:val="18"/>
              </w:rPr>
              <w:t>47715.791145</w:t>
            </w:r>
          </w:p>
        </w:tc>
        <w:tc>
          <w:tcPr>
            <w:tcW w:type="dxa" w:w="1800"/>
            <w:vAlign w:val="center"/>
          </w:tcPr>
          <w:p>
            <w:pPr>
              <w:spacing w:before="0" w:after="0" w:line="240" w:lineRule="auto"/>
              <w:jc w:val="center"/>
            </w:pPr>
            <w:r/>
            <w:r>
              <w:rPr>
                <w:rFonts w:ascii="Times New Roman" w:hAnsi="Times New Roman" w:eastAsia="宋体"/>
                <w:b w:val="0"/>
                <w:sz w:val="18"/>
              </w:rPr>
              <w:t>47554.210845</w:t>
            </w:r>
          </w:p>
        </w:tc>
        <w:tc>
          <w:tcPr>
            <w:tcW w:type="dxa" w:w="1944"/>
            <w:vAlign w:val="center"/>
          </w:tcPr>
          <w:p>
            <w:pPr>
              <w:spacing w:before="0" w:after="0" w:line="240" w:lineRule="auto"/>
              <w:jc w:val="center"/>
            </w:pPr>
            <w:r/>
            <w:r>
              <w:rPr>
                <w:rFonts w:ascii="Times New Roman" w:hAnsi="Times New Roman" w:eastAsia="宋体"/>
                <w:b w:val="0"/>
                <w:sz w:val="18"/>
              </w:rPr>
              <w:t>72648.801895</w:t>
            </w:r>
          </w:p>
        </w:tc>
        <w:tc>
          <w:tcPr>
            <w:tcW w:type="dxa" w:w="1728"/>
            <w:vAlign w:val="center"/>
          </w:tcPr>
          <w:p>
            <w:pPr>
              <w:spacing w:before="0" w:after="0" w:line="240" w:lineRule="auto"/>
              <w:jc w:val="center"/>
            </w:pPr>
            <w:r/>
            <w:r>
              <w:rPr>
                <w:rFonts w:ascii="Times New Roman" w:hAnsi="Times New Roman" w:eastAsia="宋体"/>
                <w:b w:val="0"/>
                <w:sz w:val="18"/>
              </w:rPr>
              <w:t>394.502794</w:t>
            </w:r>
          </w:p>
        </w:tc>
      </w:tr>
      <w:tr>
        <w:trPr>
          <w:cantSplit/>
        </w:trPr>
        <w:tc>
          <w:tcPr>
            <w:tcW w:type="dxa" w:w="1368"/>
            <w:vAlign w:val="center"/>
          </w:tcPr>
          <w:p>
            <w:pPr>
              <w:spacing w:before="0" w:after="0" w:line="240" w:lineRule="auto"/>
              <w:jc w:val="center"/>
            </w:pPr>
            <w:r/>
            <w:r>
              <w:rPr>
                <w:rFonts w:ascii="Times New Roman" w:hAnsi="Times New Roman" w:eastAsia="宋体"/>
                <w:b w:val="0"/>
                <w:sz w:val="18"/>
              </w:rPr>
              <w:t>2025-06-21</w:t>
            </w:r>
          </w:p>
        </w:tc>
        <w:tc>
          <w:tcPr>
            <w:tcW w:type="dxa" w:w="1800"/>
            <w:vAlign w:val="center"/>
          </w:tcPr>
          <w:p>
            <w:pPr>
              <w:spacing w:before="0" w:after="0" w:line="240" w:lineRule="auto"/>
              <w:jc w:val="center"/>
            </w:pPr>
            <w:r/>
            <w:r>
              <w:rPr>
                <w:rFonts w:ascii="Times New Roman" w:hAnsi="Times New Roman" w:eastAsia="宋体"/>
                <w:b w:val="0"/>
                <w:sz w:val="18"/>
              </w:rPr>
              <w:t>19233.915437</w:t>
            </w:r>
          </w:p>
        </w:tc>
        <w:tc>
          <w:tcPr>
            <w:tcW w:type="dxa" w:w="1800"/>
            <w:vAlign w:val="center"/>
          </w:tcPr>
          <w:p>
            <w:pPr>
              <w:spacing w:before="0" w:after="0" w:line="240" w:lineRule="auto"/>
              <w:jc w:val="center"/>
            </w:pPr>
            <w:r/>
            <w:r>
              <w:rPr>
                <w:rFonts w:ascii="Times New Roman" w:hAnsi="Times New Roman" w:eastAsia="宋体"/>
                <w:b w:val="0"/>
                <w:sz w:val="18"/>
              </w:rPr>
              <w:t>19233.915437</w:t>
            </w:r>
          </w:p>
        </w:tc>
        <w:tc>
          <w:tcPr>
            <w:tcW w:type="dxa" w:w="1944"/>
            <w:vAlign w:val="center"/>
          </w:tcPr>
          <w:p>
            <w:pPr>
              <w:spacing w:before="0" w:after="0" w:line="240" w:lineRule="auto"/>
              <w:jc w:val="center"/>
            </w:pPr>
            <w:r/>
            <w:r>
              <w:rPr>
                <w:rFonts w:ascii="Times New Roman" w:hAnsi="Times New Roman" w:eastAsia="宋体"/>
                <w:b w:val="0"/>
                <w:sz w:val="18"/>
              </w:rPr>
              <w:t>36037.358845</w:t>
            </w:r>
          </w:p>
        </w:tc>
        <w:tc>
          <w:tcPr>
            <w:tcW w:type="dxa" w:w="1728"/>
            <w:vAlign w:val="center"/>
          </w:tcPr>
          <w:p>
            <w:pPr>
              <w:spacing w:before="0" w:after="0" w:line="240" w:lineRule="auto"/>
              <w:jc w:val="center"/>
            </w:pPr>
            <w:r/>
            <w:r>
              <w:rPr>
                <w:rFonts w:ascii="Times New Roman" w:hAnsi="Times New Roman" w:eastAsia="宋体"/>
                <w:b w:val="0"/>
                <w:sz w:val="18"/>
              </w:rPr>
              <w:t>0.000000</w:t>
            </w:r>
          </w:p>
        </w:tc>
      </w:tr>
      <w:tr>
        <w:trPr>
          <w:cantSplit/>
        </w:trPr>
        <w:tc>
          <w:tcPr>
            <w:tcW w:type="dxa" w:w="1368"/>
            <w:vAlign w:val="center"/>
          </w:tcPr>
          <w:p>
            <w:pPr>
              <w:spacing w:before="0" w:after="0" w:line="240" w:lineRule="auto"/>
              <w:jc w:val="center"/>
            </w:pPr>
            <w:r/>
            <w:r>
              <w:rPr>
                <w:rFonts w:ascii="Times New Roman" w:hAnsi="Times New Roman" w:eastAsia="宋体"/>
                <w:b w:val="0"/>
                <w:sz w:val="18"/>
              </w:rPr>
              <w:t>2025-09-23</w:t>
            </w:r>
          </w:p>
        </w:tc>
        <w:tc>
          <w:tcPr>
            <w:tcW w:type="dxa" w:w="1800"/>
            <w:vAlign w:val="center"/>
          </w:tcPr>
          <w:p>
            <w:pPr>
              <w:spacing w:before="0" w:after="0" w:line="240" w:lineRule="auto"/>
              <w:jc w:val="center"/>
            </w:pPr>
            <w:r/>
            <w:r>
              <w:rPr>
                <w:rFonts w:ascii="Times New Roman" w:hAnsi="Times New Roman" w:eastAsia="宋体"/>
                <w:b w:val="0"/>
                <w:sz w:val="18"/>
              </w:rPr>
              <w:t>46306.165678</w:t>
            </w:r>
          </w:p>
        </w:tc>
        <w:tc>
          <w:tcPr>
            <w:tcW w:type="dxa" w:w="1800"/>
            <w:vAlign w:val="center"/>
          </w:tcPr>
          <w:p>
            <w:pPr>
              <w:spacing w:before="0" w:after="0" w:line="240" w:lineRule="auto"/>
              <w:jc w:val="center"/>
            </w:pPr>
            <w:r/>
            <w:r>
              <w:rPr>
                <w:rFonts w:ascii="Times New Roman" w:hAnsi="Times New Roman" w:eastAsia="宋体"/>
                <w:b w:val="0"/>
                <w:sz w:val="18"/>
              </w:rPr>
              <w:t>46306.165678</w:t>
            </w:r>
          </w:p>
        </w:tc>
        <w:tc>
          <w:tcPr>
            <w:tcW w:type="dxa" w:w="1944"/>
            <w:vAlign w:val="center"/>
          </w:tcPr>
          <w:p>
            <w:pPr>
              <w:spacing w:before="0" w:after="0" w:line="240" w:lineRule="auto"/>
              <w:jc w:val="center"/>
            </w:pPr>
            <w:r/>
            <w:r>
              <w:rPr>
                <w:rFonts w:ascii="Times New Roman" w:hAnsi="Times New Roman" w:eastAsia="宋体"/>
                <w:b w:val="0"/>
                <w:sz w:val="18"/>
              </w:rPr>
              <w:t>68276.815185</w:t>
            </w:r>
          </w:p>
        </w:tc>
        <w:tc>
          <w:tcPr>
            <w:tcW w:type="dxa" w:w="1728"/>
            <w:vAlign w:val="center"/>
          </w:tcPr>
          <w:p>
            <w:pPr>
              <w:spacing w:before="0" w:after="0" w:line="240" w:lineRule="auto"/>
              <w:jc w:val="center"/>
            </w:pPr>
            <w:r/>
            <w:r>
              <w:rPr>
                <w:rFonts w:ascii="Times New Roman" w:hAnsi="Times New Roman" w:eastAsia="宋体"/>
                <w:b w:val="0"/>
                <w:sz w:val="18"/>
              </w:rPr>
              <w:t>6.375000</w:t>
            </w:r>
          </w:p>
        </w:tc>
      </w:tr>
      <w:tr>
        <w:trPr>
          <w:cantSplit/>
        </w:trPr>
        <w:tc>
          <w:tcPr>
            <w:tcW w:type="dxa" w:w="1368"/>
            <w:vAlign w:val="center"/>
          </w:tcPr>
          <w:p>
            <w:pPr>
              <w:spacing w:before="0" w:after="0" w:line="240" w:lineRule="auto"/>
              <w:jc w:val="center"/>
            </w:pPr>
            <w:r/>
            <w:r>
              <w:rPr>
                <w:rFonts w:ascii="Times New Roman" w:hAnsi="Times New Roman" w:eastAsia="宋体"/>
                <w:b w:val="0"/>
                <w:sz w:val="18"/>
              </w:rPr>
              <w:t>2025-12-21</w:t>
            </w:r>
          </w:p>
        </w:tc>
        <w:tc>
          <w:tcPr>
            <w:tcW w:type="dxa" w:w="1800"/>
            <w:vAlign w:val="center"/>
          </w:tcPr>
          <w:p>
            <w:pPr>
              <w:spacing w:before="0" w:after="0" w:line="240" w:lineRule="auto"/>
              <w:jc w:val="center"/>
            </w:pPr>
            <w:r/>
            <w:r>
              <w:rPr>
                <w:rFonts w:ascii="Times New Roman" w:hAnsi="Times New Roman" w:eastAsia="宋体"/>
                <w:b w:val="0"/>
                <w:sz w:val="18"/>
              </w:rPr>
              <w:t>74641.413169</w:t>
            </w:r>
          </w:p>
        </w:tc>
        <w:tc>
          <w:tcPr>
            <w:tcW w:type="dxa" w:w="1800"/>
            <w:vAlign w:val="center"/>
          </w:tcPr>
          <w:p>
            <w:pPr>
              <w:spacing w:before="0" w:after="0" w:line="240" w:lineRule="auto"/>
              <w:jc w:val="center"/>
            </w:pPr>
            <w:r/>
            <w:r>
              <w:rPr>
                <w:rFonts w:ascii="Times New Roman" w:hAnsi="Times New Roman" w:eastAsia="宋体"/>
                <w:b w:val="0"/>
                <w:sz w:val="18"/>
              </w:rPr>
              <w:t>72413.899046</w:t>
            </w:r>
          </w:p>
        </w:tc>
        <w:tc>
          <w:tcPr>
            <w:tcW w:type="dxa" w:w="1944"/>
            <w:vAlign w:val="center"/>
          </w:tcPr>
          <w:p>
            <w:pPr>
              <w:spacing w:before="0" w:after="0" w:line="240" w:lineRule="auto"/>
              <w:jc w:val="center"/>
            </w:pPr>
            <w:r/>
            <w:r>
              <w:rPr>
                <w:rFonts w:ascii="Times New Roman" w:hAnsi="Times New Roman" w:eastAsia="宋体"/>
                <w:b w:val="0"/>
                <w:sz w:val="18"/>
              </w:rPr>
              <w:t>92822.618725</w:t>
            </w:r>
          </w:p>
        </w:tc>
        <w:tc>
          <w:tcPr>
            <w:tcW w:type="dxa" w:w="1728"/>
            <w:vAlign w:val="center"/>
          </w:tcPr>
          <w:p>
            <w:pPr>
              <w:spacing w:before="0" w:after="0" w:line="240" w:lineRule="auto"/>
              <w:jc w:val="center"/>
            </w:pPr>
            <w:r/>
            <w:r>
              <w:rPr>
                <w:rFonts w:ascii="Times New Roman" w:hAnsi="Times New Roman" w:eastAsia="宋体"/>
                <w:b w:val="0"/>
                <w:sz w:val="18"/>
              </w:rPr>
              <w:t>0.000000</w:t>
            </w:r>
          </w:p>
        </w:tc>
      </w:tr>
    </w:tbl>
    <w:p>
      <w:pPr>
        <w:spacing w:before="40" w:after="40" w:line="240" w:lineRule="auto"/>
        <w:jc w:val="center"/>
      </w:pPr>
      <w:r>
        <w:drawing>
          <wp:inline xmlns:a="http://schemas.openxmlformats.org/drawingml/2006/main" xmlns:pic="http://schemas.openxmlformats.org/drawingml/2006/picture">
            <wp:extent cx="5486400" cy="3291840"/>
            <wp:docPr id="20" name="Picture 20"/>
            <wp:cNvGraphicFramePr>
              <a:graphicFrameLocks noChangeAspect="1"/>
            </wp:cNvGraphicFramePr>
            <a:graphic>
              <a:graphicData uri="http://schemas.openxmlformats.org/drawingml/2006/picture">
                <pic:pic>
                  <pic:nvPicPr>
                    <pic:cNvPr id="0" name="问题4-3_指定日期_预报更新与购电调整.png"/>
                    <pic:cNvPicPr/>
                  </pic:nvPicPr>
                  <pic:blipFill>
                    <a:blip r:embed="rId37"/>
                    <a:stretch>
                      <a:fillRect/>
                    </a:stretch>
                  </pic:blipFill>
                  <pic:spPr>
                    <a:xfrm>
                      <a:off x="0" y="0"/>
                      <a:ext cx="5486400" cy="3291840"/>
                    </a:xfrm>
                    <a:prstGeom prst="rect"/>
                  </pic:spPr>
                </pic:pic>
              </a:graphicData>
            </a:graphic>
          </wp:inline>
        </w:drawing>
      </w:r>
    </w:p>
    <w:p>
      <w:pPr>
        <w:spacing w:before="0" w:after="0" w:line="240" w:lineRule="auto"/>
        <w:jc w:val="center"/>
      </w:pPr>
      <w:r>
        <w:rPr>
          <w:rFonts w:ascii="Times New Roman" w:hAnsi="Times New Roman" w:eastAsia="宋体"/>
          <w:b/>
          <w:sz w:val="21"/>
        </w:rPr>
        <w:t>图2 指定日期预报更新与购电调整</w:t>
      </w:r>
    </w:p>
    <w:p>
      <w:pPr>
        <w:spacing w:before="40" w:after="40" w:line="240" w:lineRule="auto"/>
        <w:jc w:val="center"/>
      </w:pPr>
      <w:r>
        <w:drawing>
          <wp:inline xmlns:a="http://schemas.openxmlformats.org/drawingml/2006/main" xmlns:pic="http://schemas.openxmlformats.org/drawingml/2006/picture">
            <wp:extent cx="5486400" cy="3291840"/>
            <wp:docPr id="21" name="Picture 21"/>
            <wp:cNvGraphicFramePr>
              <a:graphicFrameLocks noChangeAspect="1"/>
            </wp:cNvGraphicFramePr>
            <a:graphic>
              <a:graphicData uri="http://schemas.openxmlformats.org/drawingml/2006/picture">
                <pic:pic>
                  <pic:nvPicPr>
                    <pic:cNvPr id="0" name="问题4-3_指定日期_储能充放电与储电量.png"/>
                    <pic:cNvPicPr/>
                  </pic:nvPicPr>
                  <pic:blipFill>
                    <a:blip r:embed="rId38"/>
                    <a:stretch>
                      <a:fillRect/>
                    </a:stretch>
                  </pic:blipFill>
                  <pic:spPr>
                    <a:xfrm>
                      <a:off x="0" y="0"/>
                      <a:ext cx="5486400" cy="3291840"/>
                    </a:xfrm>
                    <a:prstGeom prst="rect"/>
                  </pic:spPr>
                </pic:pic>
              </a:graphicData>
            </a:graphic>
          </wp:inline>
        </w:drawing>
      </w:r>
    </w:p>
    <w:p>
      <w:pPr>
        <w:spacing w:before="0" w:after="0" w:line="240" w:lineRule="auto"/>
        <w:jc w:val="center"/>
      </w:pPr>
      <w:r>
        <w:rPr>
          <w:rFonts w:ascii="Times New Roman" w:hAnsi="Times New Roman" w:eastAsia="宋体"/>
          <w:b/>
          <w:sz w:val="21"/>
        </w:rPr>
        <w:t>图3 指定日期储能充放电与储电量</w:t>
      </w:r>
    </w:p>
    <w:p>
      <w:pPr>
        <w:spacing w:before="40" w:after="40" w:line="240" w:lineRule="auto"/>
        <w:jc w:val="center"/>
      </w:pPr>
      <w:r>
        <w:drawing>
          <wp:inline xmlns:a="http://schemas.openxmlformats.org/drawingml/2006/main" xmlns:pic="http://schemas.openxmlformats.org/drawingml/2006/picture">
            <wp:extent cx="5486400" cy="3017520"/>
            <wp:docPr id="22" name="Picture 22"/>
            <wp:cNvGraphicFramePr>
              <a:graphicFrameLocks noChangeAspect="1"/>
            </wp:cNvGraphicFramePr>
            <a:graphic>
              <a:graphicData uri="http://schemas.openxmlformats.org/drawingml/2006/picture">
                <pic:pic>
                  <pic:nvPicPr>
                    <pic:cNvPr id="0" name="问题4-2与4-3_费用与紧急购电对比.png"/>
                    <pic:cNvPicPr/>
                  </pic:nvPicPr>
                  <pic:blipFill>
                    <a:blip r:embed="rId39"/>
                    <a:stretch>
                      <a:fillRect/>
                    </a:stretch>
                  </pic:blipFill>
                  <pic:spPr>
                    <a:xfrm>
                      <a:off x="0" y="0"/>
                      <a:ext cx="5486400" cy="3017520"/>
                    </a:xfrm>
                    <a:prstGeom prst="rect"/>
                  </pic:spPr>
                </pic:pic>
              </a:graphicData>
            </a:graphic>
          </wp:inline>
        </w:drawing>
      </w:r>
    </w:p>
    <w:p>
      <w:pPr>
        <w:spacing w:before="0" w:after="0" w:line="240" w:lineRule="auto"/>
        <w:jc w:val="center"/>
      </w:pPr>
      <w:r>
        <w:rPr>
          <w:rFonts w:ascii="Times New Roman" w:hAnsi="Times New Roman" w:eastAsia="宋体"/>
          <w:b/>
          <w:sz w:val="21"/>
        </w:rPr>
        <w:t>图4 问题4-2与问题4-3费用及紧急购电对比</w:t>
      </w:r>
    </w:p>
    <w:p>
      <w:pPr>
        <w:spacing w:before="0" w:after="0" w:line="240" w:lineRule="auto"/>
        <w:jc w:val="left"/>
      </w:pPr>
      <w:r>
        <w:rPr>
          <w:rFonts w:ascii="Times New Roman" w:hAnsi="Times New Roman" w:eastAsia="宋体"/>
          <w:b/>
          <w:sz w:val="21"/>
        </w:rPr>
        <w:t>8.3.3 结果分析</w:t>
      </w:r>
    </w:p>
    <w:p>
      <w:pPr>
        <w:spacing w:before="0" w:after="0" w:line="240" w:lineRule="auto"/>
        <w:jc w:val="left"/>
      </w:pPr>
      <w:r>
        <w:rPr>
          <w:rFonts w:ascii="Times New Roman" w:hAnsi="Times New Roman" w:eastAsia="宋体"/>
          <w:b w:val="0"/>
          <w:sz w:val="21"/>
        </w:rPr>
        <w:t>指定日期结果表明，滚动调整能够降低典型高价日的购电费用。2025-03-20的问题4-3总费用为47554.210845元，低于问题4-2的47715.791145元；2025-12-21的问题4-3总费用为72413.899046元，低于问题4-2的74641.413169元。2025-06-21和2025-09-23的两种方案总费用相同，但后者仍保留6.375000 kWh紧急购电以覆盖实时偏差。</w:t>
      </w:r>
    </w:p>
    <w:p>
      <w:pPr>
        <w:spacing w:before="0" w:after="0" w:line="240" w:lineRule="auto"/>
        <w:jc w:val="left"/>
      </w:pPr>
      <w:r>
        <w:rPr>
          <w:rFonts w:ascii="Times New Roman" w:hAnsi="Times New Roman" w:eastAsia="宋体"/>
          <w:b w:val="0"/>
          <w:sz w:val="21"/>
        </w:rPr>
        <w:t>全年结果表明，问题4-3在保留0:00计划的基础上进行滚动调整，其经济性和供电可靠性均优于问题4-2。问题4-3总费用比问题4-2降低，同时紧急购电量由198238.462926 kWh降至40104.456175 kWh。与固定电价模型相比，问题4-2总费用较问题2增加810826.072716元，增幅5.663314%；问题4-3总费用较问题3增加755133.183440元，增幅5.497342%，说明成本上升主要来自实时电价水平和峰谷价差，而非额外负荷缺口。</w:t>
      </w:r>
    </w:p>
    <w:p>
      <w:pPr>
        <w:spacing w:before="0" w:after="0" w:line="240" w:lineRule="auto"/>
        <w:jc w:val="left"/>
      </w:pPr>
      <w:r>
        <w:rPr>
          <w:rFonts w:ascii="Times New Roman" w:hAnsi="Times New Roman" w:eastAsia="宋体"/>
          <w:b w:val="0"/>
          <w:sz w:val="21"/>
        </w:rPr>
        <w:t>储能运行结果符合低价充电、高价放电的经济规律。问题4-2的充电、放电加权电价分别为0.523683、1.107678元/kWh，低价充电量占比为46.657786%，高价放电量占比为67.319532%；问题4-3的对应值为0.522817、1.108270元/kWh、46.826114%和67.829966%。图3表明充放电动作与电价峰谷及光伏盈余时段相匹配，SOC始终位于安全范围内。</w:t>
      </w:r>
    </w:p>
    <w:p>
      <w:pPr>
        <w:spacing w:before="0" w:after="0" w:line="240" w:lineRule="auto"/>
        <w:jc w:val="left"/>
      </w:pPr>
      <w:r>
        <w:rPr>
          <w:rFonts w:ascii="Times New Roman" w:hAnsi="Times New Roman" w:eastAsia="宋体"/>
          <w:b/>
          <w:sz w:val="21"/>
        </w:rPr>
        <w:t>8.4 模型检验</w:t>
      </w:r>
    </w:p>
    <w:p>
      <w:pPr>
        <w:spacing w:before="0" w:after="0" w:line="240" w:lineRule="auto"/>
        <w:jc w:val="left"/>
      </w:pPr>
      <w:r>
        <w:rPr>
          <w:rFonts w:ascii="Times New Roman" w:hAnsi="Times New Roman" w:eastAsia="宋体"/>
          <w:b/>
          <w:sz w:val="21"/>
        </w:rPr>
        <w:t>8.4.1 约束与费用复算检验</w:t>
      </w:r>
    </w:p>
    <w:p>
      <w:pPr>
        <w:spacing w:before="0" w:after="0" w:line="240" w:lineRule="auto"/>
        <w:jc w:val="left"/>
      </w:pPr>
      <w:r>
        <w:rPr>
          <w:rFonts w:ascii="Times New Roman" w:hAnsi="Times New Roman" w:eastAsia="宋体"/>
          <w:b w:val="0"/>
          <w:sz w:val="21"/>
        </w:rPr>
        <w:t>约束校核结果表明模型解满足物理约束与数值一致性。最大SOC递推残差、最大电能平衡残差和最大跨日SOC断点均为0 kWh，最大充放电功率为5000 kW，说明储能安全范围、能量守恒和跨日连续性均得到满足。</w:t>
      </w:r>
    </w:p>
    <w:p>
      <w:pPr>
        <w:spacing w:before="0" w:after="0" w:line="240" w:lineRule="auto"/>
        <w:jc w:val="left"/>
      </w:pPr>
      <w:r>
        <w:rPr>
          <w:rFonts w:ascii="Times New Roman" w:hAnsi="Times New Roman" w:eastAsia="宋体"/>
          <w:b w:val="0"/>
          <w:sz w:val="21"/>
        </w:rPr>
        <w:t>费用复算结果说明两方案的三类费用口径均一致。问题4-2满足13904893.470433+0.000000+1223099.083975=15127992.554408元；问题4-3满足13893960.083596+369082.854104+228422.327447=14491465.265148元。</w:t>
      </w:r>
    </w:p>
    <w:p>
      <w:pPr>
        <w:spacing w:before="0" w:after="0" w:line="240" w:lineRule="auto"/>
        <w:jc w:val="left"/>
      </w:pPr>
      <w:r>
        <w:rPr>
          <w:rFonts w:ascii="Times New Roman" w:hAnsi="Times New Roman" w:eastAsia="宋体"/>
          <w:b/>
          <w:sz w:val="21"/>
        </w:rPr>
        <w:t>8.4.2 方案对比检验</w:t>
      </w:r>
    </w:p>
    <w:p>
      <w:pPr>
        <w:spacing w:before="0" w:after="0" w:line="240" w:lineRule="auto"/>
        <w:jc w:val="left"/>
      </w:pPr>
      <w:r>
        <w:rPr>
          <w:rFonts w:ascii="Times New Roman" w:hAnsi="Times New Roman" w:eastAsia="宋体"/>
          <w:b w:val="0"/>
          <w:sz w:val="21"/>
        </w:rPr>
        <w:t>方案对比检验表明，滚动调整未破坏供电平衡和储能约束，并显著降低了应急购电风险。问题4-3总费用由问题4-2的15127992.554408元降至14491465.265148元，紧急购电量由198238.462926 kWh降至40104.456175 kWh；问题4-2相对问题2的费用增幅为5.663314%，问题4-3相对问题3的费用增幅为5.497342%。</w:t>
      </w:r>
    </w:p>
    <w:p>
      <w:pPr>
        <w:spacing w:before="0" w:after="0" w:line="240" w:lineRule="auto"/>
        <w:jc w:val="left"/>
      </w:pPr>
      <w:r>
        <w:rPr>
          <w:rFonts w:ascii="Times New Roman" w:hAnsi="Times New Roman" w:eastAsia="宋体"/>
          <w:b/>
          <w:sz w:val="21"/>
        </w:rPr>
        <w:t>8.4.3 灵敏度分析</w:t>
      </w:r>
    </w:p>
    <w:p>
      <w:pPr>
        <w:spacing w:before="0" w:after="0" w:line="240" w:lineRule="auto"/>
        <w:jc w:val="left"/>
      </w:pPr>
      <w:r>
        <w:rPr>
          <w:rFonts w:ascii="Times New Roman" w:hAnsi="Times New Roman" w:eastAsia="宋体"/>
          <w:b w:val="0"/>
          <w:sz w:val="21"/>
        </w:rPr>
        <w:t>预报尺度灵敏度结果如表3所示。</w:t>
      </w:r>
    </w:p>
    <w:p>
      <w:pPr>
        <w:spacing w:before="0" w:after="0" w:line="240" w:lineRule="auto"/>
        <w:jc w:val="center"/>
      </w:pPr>
      <w:r>
        <w:rPr>
          <w:rFonts w:ascii="Times New Roman" w:hAnsi="Times New Roman" w:eastAsia="宋体"/>
          <w:b/>
          <w:sz w:val="21"/>
        </w:rPr>
        <w:t>表3 预报尺度灵敏度</w:t>
      </w:r>
    </w:p>
    <w:tbl>
      <w:tblPr>
        <w:tblStyle w:val="TableGrid"/>
        <w:tblW w:type="auto" w:w="0"/>
        <w:jc w:val="center"/>
        <w:tblLayout w:type="fixed"/>
        <w:tblLook w:firstColumn="1" w:firstRow="1" w:lastColumn="0" w:lastRow="0" w:noHBand="0" w:noVBand="1" w:val="04A0"/>
      </w:tblPr>
      <w:tblGrid>
        <w:gridCol w:w="1440"/>
        <w:gridCol w:w="1440"/>
        <w:gridCol w:w="1440"/>
        <w:gridCol w:w="1440"/>
        <w:gridCol w:w="1440"/>
        <w:gridCol w:w="1440"/>
      </w:tblGrid>
      <w:tr>
        <w:trPr>
          <w:tblHeader w:val="true"/>
          <w:cantSplit/>
        </w:trPr>
        <w:tc>
          <w:tcPr>
            <w:tcW w:type="dxa" w:w="1368"/>
            <w:vAlign w:val="center"/>
          </w:tcPr>
          <w:p>
            <w:pPr>
              <w:spacing w:before="0" w:after="0" w:line="240" w:lineRule="auto"/>
              <w:jc w:val="center"/>
            </w:pPr>
            <w:r/>
            <w:r>
              <w:rPr>
                <w:rFonts w:ascii="Times New Roman" w:hAnsi="Times New Roman" w:eastAsia="宋体"/>
                <w:b/>
                <w:sz w:val="17"/>
              </w:rPr>
              <w:t>日期</w:t>
            </w:r>
          </w:p>
        </w:tc>
        <w:tc>
          <w:tcPr>
            <w:tcW w:type="dxa" w:w="1454"/>
            <w:vAlign w:val="center"/>
          </w:tcPr>
          <w:p>
            <w:pPr>
              <w:spacing w:before="0" w:after="0" w:line="240" w:lineRule="auto"/>
              <w:jc w:val="center"/>
            </w:pPr>
            <w:r/>
            <w:r>
              <w:rPr>
                <w:rFonts w:ascii="Times New Roman" w:hAnsi="Times New Roman" w:eastAsia="宋体"/>
                <w:b/>
                <w:sz w:val="17"/>
              </w:rPr>
              <w:t>0.90</w:t>
            </w:r>
          </w:p>
        </w:tc>
        <w:tc>
          <w:tcPr>
            <w:tcW w:type="dxa" w:w="1454"/>
            <w:vAlign w:val="center"/>
          </w:tcPr>
          <w:p>
            <w:pPr>
              <w:spacing w:before="0" w:after="0" w:line="240" w:lineRule="auto"/>
              <w:jc w:val="center"/>
            </w:pPr>
            <w:r/>
            <w:r>
              <w:rPr>
                <w:rFonts w:ascii="Times New Roman" w:hAnsi="Times New Roman" w:eastAsia="宋体"/>
                <w:b/>
                <w:sz w:val="17"/>
              </w:rPr>
              <w:t>0.95</w:t>
            </w:r>
          </w:p>
        </w:tc>
        <w:tc>
          <w:tcPr>
            <w:tcW w:type="dxa" w:w="1454"/>
            <w:vAlign w:val="center"/>
          </w:tcPr>
          <w:p>
            <w:pPr>
              <w:spacing w:before="0" w:after="0" w:line="240" w:lineRule="auto"/>
              <w:jc w:val="center"/>
            </w:pPr>
            <w:r/>
            <w:r>
              <w:rPr>
                <w:rFonts w:ascii="Times New Roman" w:hAnsi="Times New Roman" w:eastAsia="宋体"/>
                <w:b/>
                <w:sz w:val="17"/>
              </w:rPr>
              <w:t>1.00</w:t>
            </w:r>
          </w:p>
        </w:tc>
        <w:tc>
          <w:tcPr>
            <w:tcW w:type="dxa" w:w="1454"/>
            <w:vAlign w:val="center"/>
          </w:tcPr>
          <w:p>
            <w:pPr>
              <w:spacing w:before="0" w:after="0" w:line="240" w:lineRule="auto"/>
              <w:jc w:val="center"/>
            </w:pPr>
            <w:r/>
            <w:r>
              <w:rPr>
                <w:rFonts w:ascii="Times New Roman" w:hAnsi="Times New Roman" w:eastAsia="宋体"/>
                <w:b/>
                <w:sz w:val="17"/>
              </w:rPr>
              <w:t>1.05</w:t>
            </w:r>
          </w:p>
        </w:tc>
        <w:tc>
          <w:tcPr>
            <w:tcW w:type="dxa" w:w="1454"/>
            <w:vAlign w:val="center"/>
          </w:tcPr>
          <w:p>
            <w:pPr>
              <w:spacing w:before="0" w:after="0" w:line="240" w:lineRule="auto"/>
              <w:jc w:val="center"/>
            </w:pPr>
            <w:r/>
            <w:r>
              <w:rPr>
                <w:rFonts w:ascii="Times New Roman" w:hAnsi="Times New Roman" w:eastAsia="宋体"/>
                <w:b/>
                <w:sz w:val="17"/>
              </w:rPr>
              <w:t>1.10</w:t>
            </w:r>
          </w:p>
        </w:tc>
      </w:tr>
      <w:tr>
        <w:trPr>
          <w:cantSplit/>
        </w:trPr>
        <w:tc>
          <w:tcPr>
            <w:tcW w:type="dxa" w:w="1368"/>
            <w:vAlign w:val="center"/>
          </w:tcPr>
          <w:p>
            <w:pPr>
              <w:spacing w:before="0" w:after="0" w:line="240" w:lineRule="auto"/>
              <w:jc w:val="center"/>
            </w:pPr>
            <w:r/>
            <w:r>
              <w:rPr>
                <w:rFonts w:ascii="Times New Roman" w:hAnsi="Times New Roman" w:eastAsia="宋体"/>
                <w:b w:val="0"/>
                <w:sz w:val="17"/>
              </w:rPr>
              <w:t>2025-03-20</w:t>
            </w:r>
          </w:p>
        </w:tc>
        <w:tc>
          <w:tcPr>
            <w:tcW w:type="dxa" w:w="1454"/>
            <w:vAlign w:val="center"/>
          </w:tcPr>
          <w:p>
            <w:pPr>
              <w:spacing w:before="0" w:after="0" w:line="240" w:lineRule="auto"/>
              <w:jc w:val="center"/>
            </w:pPr>
            <w:r/>
            <w:r>
              <w:rPr>
                <w:rFonts w:ascii="Times New Roman" w:hAnsi="Times New Roman" w:eastAsia="宋体"/>
                <w:b w:val="0"/>
                <w:sz w:val="17"/>
              </w:rPr>
              <w:t>53374.812903</w:t>
            </w:r>
          </w:p>
        </w:tc>
        <w:tc>
          <w:tcPr>
            <w:tcW w:type="dxa" w:w="1454"/>
            <w:vAlign w:val="center"/>
          </w:tcPr>
          <w:p>
            <w:pPr>
              <w:spacing w:before="0" w:after="0" w:line="240" w:lineRule="auto"/>
              <w:jc w:val="center"/>
            </w:pPr>
            <w:r/>
            <w:r>
              <w:rPr>
                <w:rFonts w:ascii="Times New Roman" w:hAnsi="Times New Roman" w:eastAsia="宋体"/>
                <w:b w:val="0"/>
                <w:sz w:val="17"/>
              </w:rPr>
              <w:t>53662.492528</w:t>
            </w:r>
          </w:p>
        </w:tc>
        <w:tc>
          <w:tcPr>
            <w:tcW w:type="dxa" w:w="1454"/>
            <w:vAlign w:val="center"/>
          </w:tcPr>
          <w:p>
            <w:pPr>
              <w:spacing w:before="0" w:after="0" w:line="240" w:lineRule="auto"/>
              <w:jc w:val="center"/>
            </w:pPr>
            <w:r/>
            <w:r>
              <w:rPr>
                <w:rFonts w:ascii="Times New Roman" w:hAnsi="Times New Roman" w:eastAsia="宋体"/>
                <w:b w:val="0"/>
                <w:sz w:val="17"/>
              </w:rPr>
              <w:t>57457.710906</w:t>
            </w:r>
          </w:p>
        </w:tc>
        <w:tc>
          <w:tcPr>
            <w:tcW w:type="dxa" w:w="1454"/>
            <w:vAlign w:val="center"/>
          </w:tcPr>
          <w:p>
            <w:pPr>
              <w:spacing w:before="0" w:after="0" w:line="240" w:lineRule="auto"/>
              <w:jc w:val="center"/>
            </w:pPr>
            <w:r/>
            <w:r>
              <w:rPr>
                <w:rFonts w:ascii="Times New Roman" w:hAnsi="Times New Roman" w:eastAsia="宋体"/>
                <w:b w:val="0"/>
                <w:sz w:val="17"/>
              </w:rPr>
              <w:t>60027.943504</w:t>
            </w:r>
          </w:p>
        </w:tc>
        <w:tc>
          <w:tcPr>
            <w:tcW w:type="dxa" w:w="1454"/>
            <w:vAlign w:val="center"/>
          </w:tcPr>
          <w:p>
            <w:pPr>
              <w:spacing w:before="0" w:after="0" w:line="240" w:lineRule="auto"/>
              <w:jc w:val="center"/>
            </w:pPr>
            <w:r/>
            <w:r>
              <w:rPr>
                <w:rFonts w:ascii="Times New Roman" w:hAnsi="Times New Roman" w:eastAsia="宋体"/>
                <w:b w:val="0"/>
                <w:sz w:val="17"/>
              </w:rPr>
              <w:t>64865.440409</w:t>
            </w:r>
          </w:p>
        </w:tc>
      </w:tr>
      <w:tr>
        <w:trPr>
          <w:cantSplit/>
        </w:trPr>
        <w:tc>
          <w:tcPr>
            <w:tcW w:type="dxa" w:w="1368"/>
            <w:vAlign w:val="center"/>
          </w:tcPr>
          <w:p>
            <w:pPr>
              <w:spacing w:before="0" w:after="0" w:line="240" w:lineRule="auto"/>
              <w:jc w:val="center"/>
            </w:pPr>
            <w:r/>
            <w:r>
              <w:rPr>
                <w:rFonts w:ascii="Times New Roman" w:hAnsi="Times New Roman" w:eastAsia="宋体"/>
                <w:b w:val="0"/>
                <w:sz w:val="17"/>
              </w:rPr>
              <w:t>2025-06-21</w:t>
            </w:r>
          </w:p>
        </w:tc>
        <w:tc>
          <w:tcPr>
            <w:tcW w:type="dxa" w:w="1454"/>
            <w:vAlign w:val="center"/>
          </w:tcPr>
          <w:p>
            <w:pPr>
              <w:spacing w:before="0" w:after="0" w:line="240" w:lineRule="auto"/>
              <w:jc w:val="center"/>
            </w:pPr>
            <w:r/>
            <w:r>
              <w:rPr>
                <w:rFonts w:ascii="Times New Roman" w:hAnsi="Times New Roman" w:eastAsia="宋体"/>
                <w:b w:val="0"/>
                <w:sz w:val="17"/>
              </w:rPr>
              <w:t>17892.449167</w:t>
            </w:r>
          </w:p>
        </w:tc>
        <w:tc>
          <w:tcPr>
            <w:tcW w:type="dxa" w:w="1454"/>
            <w:vAlign w:val="center"/>
          </w:tcPr>
          <w:p>
            <w:pPr>
              <w:spacing w:before="0" w:after="0" w:line="240" w:lineRule="auto"/>
              <w:jc w:val="center"/>
            </w:pPr>
            <w:r/>
            <w:r>
              <w:rPr>
                <w:rFonts w:ascii="Times New Roman" w:hAnsi="Times New Roman" w:eastAsia="宋体"/>
                <w:b w:val="0"/>
                <w:sz w:val="17"/>
              </w:rPr>
              <w:t>17999.052931</w:t>
            </w:r>
          </w:p>
        </w:tc>
        <w:tc>
          <w:tcPr>
            <w:tcW w:type="dxa" w:w="1454"/>
            <w:vAlign w:val="center"/>
          </w:tcPr>
          <w:p>
            <w:pPr>
              <w:spacing w:before="0" w:after="0" w:line="240" w:lineRule="auto"/>
              <w:jc w:val="center"/>
            </w:pPr>
            <w:r/>
            <w:r>
              <w:rPr>
                <w:rFonts w:ascii="Times New Roman" w:hAnsi="Times New Roman" w:eastAsia="宋体"/>
                <w:b w:val="0"/>
                <w:sz w:val="17"/>
              </w:rPr>
              <w:t>18131.296792</w:t>
            </w:r>
          </w:p>
        </w:tc>
        <w:tc>
          <w:tcPr>
            <w:tcW w:type="dxa" w:w="1454"/>
            <w:vAlign w:val="center"/>
          </w:tcPr>
          <w:p>
            <w:pPr>
              <w:spacing w:before="0" w:after="0" w:line="240" w:lineRule="auto"/>
              <w:jc w:val="center"/>
            </w:pPr>
            <w:r/>
            <w:r>
              <w:rPr>
                <w:rFonts w:ascii="Times New Roman" w:hAnsi="Times New Roman" w:eastAsia="宋体"/>
                <w:b w:val="0"/>
                <w:sz w:val="17"/>
              </w:rPr>
              <w:t>18586.773301</w:t>
            </w:r>
          </w:p>
        </w:tc>
        <w:tc>
          <w:tcPr>
            <w:tcW w:type="dxa" w:w="1454"/>
            <w:vAlign w:val="center"/>
          </w:tcPr>
          <w:p>
            <w:pPr>
              <w:spacing w:before="0" w:after="0" w:line="240" w:lineRule="auto"/>
              <w:jc w:val="center"/>
            </w:pPr>
            <w:r/>
            <w:r>
              <w:rPr>
                <w:rFonts w:ascii="Times New Roman" w:hAnsi="Times New Roman" w:eastAsia="宋体"/>
                <w:b w:val="0"/>
                <w:sz w:val="17"/>
              </w:rPr>
              <w:t>19948.708208</w:t>
            </w:r>
          </w:p>
        </w:tc>
      </w:tr>
      <w:tr>
        <w:trPr>
          <w:cantSplit/>
        </w:trPr>
        <w:tc>
          <w:tcPr>
            <w:tcW w:type="dxa" w:w="1368"/>
            <w:vAlign w:val="center"/>
          </w:tcPr>
          <w:p>
            <w:pPr>
              <w:spacing w:before="0" w:after="0" w:line="240" w:lineRule="auto"/>
              <w:jc w:val="center"/>
            </w:pPr>
            <w:r/>
            <w:r>
              <w:rPr>
                <w:rFonts w:ascii="Times New Roman" w:hAnsi="Times New Roman" w:eastAsia="宋体"/>
                <w:b w:val="0"/>
                <w:sz w:val="17"/>
              </w:rPr>
              <w:t>2025-09-23</w:t>
            </w:r>
          </w:p>
        </w:tc>
        <w:tc>
          <w:tcPr>
            <w:tcW w:type="dxa" w:w="1454"/>
            <w:vAlign w:val="center"/>
          </w:tcPr>
          <w:p>
            <w:pPr>
              <w:spacing w:before="0" w:after="0" w:line="240" w:lineRule="auto"/>
              <w:jc w:val="center"/>
            </w:pPr>
            <w:r/>
            <w:r>
              <w:rPr>
                <w:rFonts w:ascii="Times New Roman" w:hAnsi="Times New Roman" w:eastAsia="宋体"/>
                <w:b w:val="0"/>
                <w:sz w:val="17"/>
              </w:rPr>
              <w:t>53971.652190</w:t>
            </w:r>
          </w:p>
        </w:tc>
        <w:tc>
          <w:tcPr>
            <w:tcW w:type="dxa" w:w="1454"/>
            <w:vAlign w:val="center"/>
          </w:tcPr>
          <w:p>
            <w:pPr>
              <w:spacing w:before="0" w:after="0" w:line="240" w:lineRule="auto"/>
              <w:jc w:val="center"/>
            </w:pPr>
            <w:r/>
            <w:r>
              <w:rPr>
                <w:rFonts w:ascii="Times New Roman" w:hAnsi="Times New Roman" w:eastAsia="宋体"/>
                <w:b w:val="0"/>
                <w:sz w:val="17"/>
              </w:rPr>
              <w:t>53922.412603</w:t>
            </w:r>
          </w:p>
        </w:tc>
        <w:tc>
          <w:tcPr>
            <w:tcW w:type="dxa" w:w="1454"/>
            <w:vAlign w:val="center"/>
          </w:tcPr>
          <w:p>
            <w:pPr>
              <w:spacing w:before="0" w:after="0" w:line="240" w:lineRule="auto"/>
              <w:jc w:val="center"/>
            </w:pPr>
            <w:r/>
            <w:r>
              <w:rPr>
                <w:rFonts w:ascii="Times New Roman" w:hAnsi="Times New Roman" w:eastAsia="宋体"/>
                <w:b w:val="0"/>
                <w:sz w:val="17"/>
              </w:rPr>
              <w:t>57372.556849</w:t>
            </w:r>
          </w:p>
        </w:tc>
        <w:tc>
          <w:tcPr>
            <w:tcW w:type="dxa" w:w="1454"/>
            <w:vAlign w:val="center"/>
          </w:tcPr>
          <w:p>
            <w:pPr>
              <w:spacing w:before="0" w:after="0" w:line="240" w:lineRule="auto"/>
              <w:jc w:val="center"/>
            </w:pPr>
            <w:r/>
            <w:r>
              <w:rPr>
                <w:rFonts w:ascii="Times New Roman" w:hAnsi="Times New Roman" w:eastAsia="宋体"/>
                <w:b w:val="0"/>
                <w:sz w:val="17"/>
              </w:rPr>
              <w:t>62661.608374</w:t>
            </w:r>
          </w:p>
        </w:tc>
        <w:tc>
          <w:tcPr>
            <w:tcW w:type="dxa" w:w="1454"/>
            <w:vAlign w:val="center"/>
          </w:tcPr>
          <w:p>
            <w:pPr>
              <w:spacing w:before="0" w:after="0" w:line="240" w:lineRule="auto"/>
              <w:jc w:val="center"/>
            </w:pPr>
            <w:r/>
            <w:r>
              <w:rPr>
                <w:rFonts w:ascii="Times New Roman" w:hAnsi="Times New Roman" w:eastAsia="宋体"/>
                <w:b w:val="0"/>
                <w:sz w:val="17"/>
              </w:rPr>
              <w:t>70757.293833</w:t>
            </w:r>
          </w:p>
        </w:tc>
      </w:tr>
      <w:tr>
        <w:trPr>
          <w:cantSplit/>
        </w:trPr>
        <w:tc>
          <w:tcPr>
            <w:tcW w:type="dxa" w:w="1368"/>
            <w:vAlign w:val="center"/>
          </w:tcPr>
          <w:p>
            <w:pPr>
              <w:spacing w:before="0" w:after="0" w:line="240" w:lineRule="auto"/>
              <w:jc w:val="center"/>
            </w:pPr>
            <w:r/>
            <w:r>
              <w:rPr>
                <w:rFonts w:ascii="Times New Roman" w:hAnsi="Times New Roman" w:eastAsia="宋体"/>
                <w:b w:val="0"/>
                <w:sz w:val="17"/>
              </w:rPr>
              <w:t>2025-12-21</w:t>
            </w:r>
          </w:p>
        </w:tc>
        <w:tc>
          <w:tcPr>
            <w:tcW w:type="dxa" w:w="1454"/>
            <w:vAlign w:val="center"/>
          </w:tcPr>
          <w:p>
            <w:pPr>
              <w:spacing w:before="0" w:after="0" w:line="240" w:lineRule="auto"/>
              <w:jc w:val="center"/>
            </w:pPr>
            <w:r/>
            <w:r>
              <w:rPr>
                <w:rFonts w:ascii="Times New Roman" w:hAnsi="Times New Roman" w:eastAsia="宋体"/>
                <w:b w:val="0"/>
                <w:sz w:val="17"/>
              </w:rPr>
              <w:t>79797.487290</w:t>
            </w:r>
          </w:p>
        </w:tc>
        <w:tc>
          <w:tcPr>
            <w:tcW w:type="dxa" w:w="1454"/>
            <w:vAlign w:val="center"/>
          </w:tcPr>
          <w:p>
            <w:pPr>
              <w:spacing w:before="0" w:after="0" w:line="240" w:lineRule="auto"/>
              <w:jc w:val="center"/>
            </w:pPr>
            <w:r/>
            <w:r>
              <w:rPr>
                <w:rFonts w:ascii="Times New Roman" w:hAnsi="Times New Roman" w:eastAsia="宋体"/>
                <w:b w:val="0"/>
                <w:sz w:val="17"/>
              </w:rPr>
              <w:t>79863.621284</w:t>
            </w:r>
          </w:p>
        </w:tc>
        <w:tc>
          <w:tcPr>
            <w:tcW w:type="dxa" w:w="1454"/>
            <w:vAlign w:val="center"/>
          </w:tcPr>
          <w:p>
            <w:pPr>
              <w:spacing w:before="0" w:after="0" w:line="240" w:lineRule="auto"/>
              <w:jc w:val="center"/>
            </w:pPr>
            <w:r/>
            <w:r>
              <w:rPr>
                <w:rFonts w:ascii="Times New Roman" w:hAnsi="Times New Roman" w:eastAsia="宋体"/>
                <w:b w:val="0"/>
                <w:sz w:val="17"/>
              </w:rPr>
              <w:t>83562.497916</w:t>
            </w:r>
          </w:p>
        </w:tc>
        <w:tc>
          <w:tcPr>
            <w:tcW w:type="dxa" w:w="1454"/>
            <w:vAlign w:val="center"/>
          </w:tcPr>
          <w:p>
            <w:pPr>
              <w:spacing w:before="0" w:after="0" w:line="240" w:lineRule="auto"/>
              <w:jc w:val="center"/>
            </w:pPr>
            <w:r/>
            <w:r>
              <w:rPr>
                <w:rFonts w:ascii="Times New Roman" w:hAnsi="Times New Roman" w:eastAsia="宋体"/>
                <w:b w:val="0"/>
                <w:sz w:val="17"/>
              </w:rPr>
              <w:t>86681.326622</w:t>
            </w:r>
          </w:p>
        </w:tc>
        <w:tc>
          <w:tcPr>
            <w:tcW w:type="dxa" w:w="1454"/>
            <w:vAlign w:val="center"/>
          </w:tcPr>
          <w:p>
            <w:pPr>
              <w:spacing w:before="0" w:after="0" w:line="240" w:lineRule="auto"/>
              <w:jc w:val="center"/>
            </w:pPr>
            <w:r/>
            <w:r>
              <w:rPr>
                <w:rFonts w:ascii="Times New Roman" w:hAnsi="Times New Roman" w:eastAsia="宋体"/>
                <w:b w:val="0"/>
                <w:sz w:val="17"/>
              </w:rPr>
              <w:t>92170.987532</w:t>
            </w:r>
          </w:p>
        </w:tc>
      </w:tr>
    </w:tbl>
    <w:p>
      <w:pPr>
        <w:spacing w:before="0" w:after="0" w:line="240" w:lineRule="auto"/>
        <w:jc w:val="left"/>
      </w:pPr>
      <w:r>
        <w:rPr>
          <w:rFonts w:ascii="Times New Roman" w:hAnsi="Times New Roman" w:eastAsia="宋体"/>
          <w:b w:val="0"/>
          <w:sz w:val="21"/>
        </w:rPr>
        <w:t>灵敏度分析表明，光伏预报整体缩放0.90至1.10时，四个指定日期的总费用总体连续变化，未出现不可行或异常跳变；电价尺度变化对结算费用的影响近似成比例，说明模型对预报偏差和价格尺度变化具有一定鲁棒性。</w:t>
      </w:r>
    </w:p>
    <w:p>
      <w:pPr>
        <w:spacing w:before="0" w:after="0" w:line="240" w:lineRule="auto"/>
        <w:jc w:val="left"/>
      </w:pPr>
      <w:r>
        <w:rPr>
          <w:rFonts w:ascii="Times New Roman" w:hAnsi="Times New Roman" w:eastAsia="宋体"/>
          <w:b/>
          <w:sz w:val="21"/>
        </w:rPr>
        <w:t>8.4.4 综合结论</w:t>
      </w:r>
    </w:p>
    <w:p>
      <w:pPr>
        <w:spacing w:before="0" w:after="0" w:line="240" w:lineRule="auto"/>
        <w:jc w:val="left"/>
      </w:pPr>
      <w:r>
        <w:rPr>
          <w:rFonts w:ascii="Times New Roman" w:hAnsi="Times New Roman" w:eastAsia="宋体"/>
          <w:b w:val="0"/>
          <w:sz w:val="21"/>
        </w:rPr>
        <w:t>综上，问题四模型在满足非预期约束和储能约束的前提下，利用联合情景刻画负荷、光伏与实时电价的不确定性，通过计划购电锁定和预报点滚动调整降低总购电费用与紧急购电风险。问题4-3在问题4-2基础上进一步提高了经济性，所得调度策略具有可行性、合理性和较好的适应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