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宋体"/>
          <w:b/>
          <w:sz w:val="26"/>
        </w:rPr>
        <w:t>七、问题三的模型建立与求解</w:t>
      </w:r>
    </w:p>
    <w:p>
      <w:r>
        <w:rPr>
          <w:rFonts w:ascii="Times New Roman" w:hAnsi="Times New Roman" w:eastAsia="宋体"/>
          <w:b/>
          <w:sz w:val="21"/>
        </w:rPr>
        <w:t>7.1 数据分析与数据处理</w:t>
      </w:r>
    </w:p>
    <w:p>
      <w:r>
        <w:rPr>
          <w:rFonts w:ascii="Times New Roman" w:hAnsi="Times New Roman" w:eastAsia="宋体"/>
          <w:b w:val="0"/>
          <w:sz w:val="21"/>
        </w:rPr>
        <w:t>问题三数据具有明显的日内峰谷、季节差异和预报偏差，为滚动购电调整提供了信息基础。附件3在0:00、6:00、12:00、18:00发布未来24小时光伏预报，附件2实际光伏具有10分钟尺度波动。图1表明，四个指定日期的0:00预报与实际光伏存在偏差，最终采用预报逐步逼近实际值，调整购电量也随之改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072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指定日期_预报更新与购电调整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图1 指定日期预报更新与购电调整</w:t>
      </w:r>
    </w:p>
    <w:p>
      <w:r>
        <w:rPr>
          <w:rFonts w:ascii="Times New Roman" w:hAnsi="Times New Roman" w:eastAsia="宋体"/>
          <w:b w:val="0"/>
          <w:sz w:val="21"/>
        </w:rPr>
        <w:t>数据处理按五个步骤完成。第一，完成附件读取与口径确认，使用附件1电价、附件2实际负荷与光伏、附件3光伏预报及储能参数。第二，完成时间映射，将每日划分为144个10分钟时段，时间步长Δt=10/60=1/6 h。第三，完成功率转电量，由X_t=P_tΔt将原始功率统一换算为kWh。第四，完成输出范围设置，仅输出2025-02-01至2025-12-31共334天，1月用于预热和状态初始化。第五，完成信息隔离与情景构造，0:00仅使用此前历史数据，预报更新仅使用已到达的真实数据。</w:t>
      </w:r>
    </w:p>
    <w:p>
      <w:r>
        <w:rPr>
          <w:rFonts w:ascii="Times New Roman" w:hAnsi="Times New Roman" w:eastAsia="宋体"/>
          <w:b/>
          <w:sz w:val="21"/>
        </w:rPr>
        <w:t>7.2 模型建立</w:t>
      </w:r>
    </w:p>
    <w:p>
      <w:r>
        <w:rPr>
          <w:rFonts w:ascii="Times New Roman" w:hAnsi="Times New Roman" w:eastAsia="宋体"/>
          <w:b w:val="0"/>
          <w:sz w:val="21"/>
        </w:rPr>
        <w:t>问题三可建立为带预报更新的滚动两阶段随机规划模型，其核心是0:00锁定计划购电、6:00、12:00、18:00更新调整购电，储能按实际数据实时响应。模型将负荷与光伏误差构造为5个等概率情景，使购电决策兼顾预测偏差风险。</w:t>
      </w:r>
    </w:p>
    <w:p>
      <w:r>
        <w:rPr>
          <w:rFonts w:ascii="Times New Roman" w:hAnsi="Times New Roman" w:eastAsia="宋体"/>
          <w:b w:val="0"/>
          <w:sz w:val="21"/>
        </w:rPr>
        <w:t>0:00阶段目标函数同时考虑计划购电费、期望紧急购电费和日末库存价值，如式（1）所示。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7174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717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b w:val="0"/>
          <w:sz w:val="21"/>
        </w:rPr>
        <w:t>式（1）中，π_t g_t为计划购电费，5π_t e_t^ω为情景紧急购电费，λE_T^ω为日末保留储能的未来价值。</w:t>
      </w:r>
    </w:p>
    <w:p>
      <w:r>
        <w:rPr>
          <w:rFonts w:ascii="Times New Roman" w:hAnsi="Times New Roman" w:eastAsia="宋体"/>
          <w:b w:val="0"/>
          <w:sz w:val="21"/>
        </w:rPr>
        <w:t>各情景各时段须满足电能平衡约束，如式（2）所示。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4264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26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b w:val="0"/>
          <w:sz w:val="21"/>
        </w:rPr>
        <w:t>式（2）左端为计划购电、光伏、放电和紧急购电，右端为负荷、充电和弃光。</w:t>
      </w:r>
    </w:p>
    <w:p>
      <w:r>
        <w:rPr>
          <w:rFonts w:ascii="Times New Roman" w:hAnsi="Times New Roman" w:eastAsia="宋体"/>
          <w:b w:val="0"/>
          <w:sz w:val="21"/>
        </w:rPr>
        <w:t>储能荷电状态按充放电效率递推，如式（3）所示。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9118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911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b w:val="0"/>
          <w:sz w:val="21"/>
        </w:rPr>
        <w:t>式（3）表明，充电量c_t^ω中只有η进入储能，放电量d_t^ω需消耗d_t^ω/η的内部电量。</w:t>
      </w:r>
    </w:p>
    <w:p>
      <w:r>
        <w:rPr>
          <w:rFonts w:ascii="Times New Roman" w:hAnsi="Times New Roman" w:eastAsia="宋体"/>
          <w:b w:val="0"/>
          <w:sz w:val="21"/>
        </w:rPr>
        <w:t>储能运行受SOC安全范围和功率能力约束，如式（4）所示。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3035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03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b w:val="0"/>
          <w:sz w:val="21"/>
        </w:rPr>
        <w:t>式（4）将SOC限制在1200～10800 kWh，并将5000 kW最大功率转换为单时段最大电量833.333 kWh。</w:t>
      </w:r>
    </w:p>
    <w:p>
      <w:r>
        <w:rPr>
          <w:rFonts w:ascii="Times New Roman" w:hAnsi="Times New Roman" w:eastAsia="宋体"/>
          <w:b w:val="0"/>
          <w:sz w:val="21"/>
        </w:rPr>
        <w:t>预报点调整购电与计划购电的偏差按下调、上调分别计费，如式（5）所示。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3440" cy="5472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547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b w:val="0"/>
          <w:sz w:val="21"/>
        </w:rPr>
        <w:t>式（5）中，下调部分按0.5倍电价支付违约费用，上调部分按1.5倍电价购买；总费用由计划购电费、调整费用和紧急购电费共同构成。</w:t>
      </w:r>
    </w:p>
    <w:p>
      <w:r>
        <w:rPr>
          <w:rFonts w:ascii="Times New Roman" w:hAnsi="Times New Roman" w:eastAsia="宋体"/>
          <w:b w:val="0"/>
          <w:sz w:val="21"/>
        </w:rPr>
        <w:t>实际执行阶段先计算固定购电后的净缺口，再通过储能放电和紧急购电覆盖缺口，如式（6）所示。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3440" cy="4469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446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b w:val="0"/>
          <w:sz w:val="21"/>
        </w:rPr>
        <w:t>当R̃_t≤0时，供能盈余优先充电；当R̃_t&gt;0时，模型在当前节省与未来库存价值之间选择放电量，未覆盖部分形成紧急购电。</w:t>
      </w:r>
    </w:p>
    <w:p>
      <w:r>
        <w:rPr>
          <w:rFonts w:ascii="Times New Roman" w:hAnsi="Times New Roman" w:eastAsia="宋体"/>
          <w:b/>
          <w:sz w:val="21"/>
        </w:rPr>
        <w:t>7.3 模型求解与结果分析</w:t>
      </w:r>
    </w:p>
    <w:p>
      <w:r>
        <w:rPr>
          <w:rFonts w:ascii="Times New Roman" w:hAnsi="Times New Roman" w:eastAsia="宋体"/>
          <w:b/>
          <w:sz w:val="21"/>
        </w:rPr>
        <w:t>7.3.1 结果展示</w:t>
      </w:r>
    </w:p>
    <w:p>
      <w:r>
        <w:rPr>
          <w:rFonts w:ascii="Times New Roman" w:hAnsi="Times New Roman" w:eastAsia="宋体"/>
          <w:b w:val="0"/>
          <w:sz w:val="21"/>
        </w:rPr>
        <w:t>模型采用5个历史误差情景、30天误差回看和3天滚动窗口，对2025-02-01至2025-12-31共334天滚动求解，表1给出输出期汇总结果。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表1 输出期汇总结果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指标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数值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单位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计划购电量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21024772.787715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kWh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调整购电量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21236928.824700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kWh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紧急购电量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40496.482426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kWh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计划购电费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13180233.876741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元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调整费用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340540.934512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元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紧急购电费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215557.270454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元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总费用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13736332.081707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元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>输出期总费用为13736332.081707元，其中计划购电费13180233.876741元、调整费用340540.934512元、紧急购电费215557.270454元；计划购电量21024772.787715 kWh，调整购电量21236928.824700 kWh，紧急购电量40496.482426 kWh。</w:t>
      </w:r>
    </w:p>
    <w:p>
      <w:r>
        <w:rPr>
          <w:rFonts w:ascii="Times New Roman" w:hAnsi="Times New Roman" w:eastAsia="宋体"/>
          <w:b w:val="0"/>
          <w:sz w:val="21"/>
        </w:rPr>
        <w:t>表2给出四个指定日期的关键结果，图2显示储能充放电功率与储电量。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表2 指定日期关键结果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日期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计划购电量/kWh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调整购电量/kWh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紧急购电量/kWh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调整费用/元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总费用/元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2025-03-20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69613.193493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70155.342079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654.959177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43333.272127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2025-06-21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36472.108260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36472.108260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22225.353445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2025-09-23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70029.951974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70073.638324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6.375000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50.090769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45086.129024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2025-12-21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93129.124726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93728.077628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1167.549114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62491.370744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0723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指定日期_储能充放电与储电量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图2 指定日期储能充放电与储电量</w:t>
      </w:r>
    </w:p>
    <w:p>
      <w:r>
        <w:rPr>
          <w:rFonts w:ascii="Times New Roman" w:hAnsi="Times New Roman" w:eastAsia="宋体"/>
          <w:b w:val="0"/>
          <w:sz w:val="21"/>
        </w:rPr>
        <w:t>为检验预报更新时点的边际价值，比较仅0:00预报、更新至6:00、更新至12:00和更新至18:00四种情景，表3和图3给出结果。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表3 预报更新时点边际价值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情景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总费用/元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紧急购电量/kWh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仅0:00预报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14369227.176445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200543.505301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更新至6:00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14188926.092558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141078.527902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更新至12:00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14189012.832600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141078.527902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更新至18:00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13736332.081707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40496.482426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1635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预报更新时点_边际价值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16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图3 预报更新时点边际价值</w:t>
      </w:r>
    </w:p>
    <w:p>
      <w:r>
        <w:rPr>
          <w:rFonts w:ascii="Times New Roman" w:hAnsi="Times New Roman" w:eastAsia="宋体"/>
          <w:b/>
          <w:sz w:val="21"/>
        </w:rPr>
        <w:t>7.3.2 结果分析</w:t>
      </w:r>
    </w:p>
    <w:p>
      <w:r>
        <w:rPr>
          <w:rFonts w:ascii="Times New Roman" w:hAnsi="Times New Roman" w:eastAsia="宋体"/>
          <w:b w:val="0"/>
          <w:sz w:val="21"/>
        </w:rPr>
        <w:t>指定日期结果表明，2025-03-20和2025-12-21分别上调购电542.148586 kWh和598.952902 kWh，调整费用分别为654.959177元和1167.549114元；2025-09-23产生6.375 kWh紧急购电。图2显示充电集中在光伏盈余时段、放电集中在负荷高峰时段，SOC始终位于1200～10800 kWh。</w:t>
      </w:r>
    </w:p>
    <w:p>
      <w:r>
        <w:rPr>
          <w:rFonts w:ascii="Times New Roman" w:hAnsi="Times New Roman" w:eastAsia="宋体"/>
          <w:b w:val="0"/>
          <w:sz w:val="21"/>
        </w:rPr>
        <w:t>预报更新结果表明，增加6:00和18:00更新具有显著经济价值。总费用由仅0:00预报的14369227.176445元降至更新至18:00的13736332.081707元，紧急购电量由200543.505301 kWh降至40496.482426 kWh；其中6:00更新减少费用180301.083887元，12:00更新使费用上升86.740043元。</w:t>
      </w:r>
    </w:p>
    <w:p>
      <w:r>
        <w:rPr>
          <w:rFonts w:ascii="Times New Roman" w:hAnsi="Times New Roman" w:eastAsia="宋体"/>
          <w:b/>
          <w:sz w:val="21"/>
        </w:rPr>
        <w:t>7.4 模型检验</w:t>
      </w:r>
    </w:p>
    <w:p>
      <w:r>
        <w:rPr>
          <w:rFonts w:ascii="Times New Roman" w:hAnsi="Times New Roman" w:eastAsia="宋体"/>
          <w:b/>
          <w:sz w:val="21"/>
        </w:rPr>
        <w:t>7.4.1 约束与费用复算检验</w:t>
      </w:r>
    </w:p>
    <w:p>
      <w:r>
        <w:rPr>
          <w:rFonts w:ascii="Times New Roman" w:hAnsi="Times New Roman" w:eastAsia="宋体"/>
          <w:b w:val="0"/>
          <w:sz w:val="21"/>
        </w:rPr>
        <w:t>约束校核结果表明模型解满足物理约束与数值一致性。最大SOC递推残差、最大电能平衡残差和最大跨日SOC断点均为0 kWh，最大充放电功率为5000 kW。</w:t>
      </w:r>
    </w:p>
    <w:p>
      <w:r>
        <w:rPr>
          <w:rFonts w:ascii="Times New Roman" w:hAnsi="Times New Roman" w:eastAsia="宋体"/>
          <w:b w:val="0"/>
          <w:sz w:val="21"/>
        </w:rPr>
        <w:t>费用复算结果说明三类费用口径一致，即13180233.876741+340540.934512+215557.270454=13736332.081707元。</w:t>
      </w:r>
    </w:p>
    <w:p>
      <w:r>
        <w:rPr>
          <w:rFonts w:ascii="Times New Roman" w:hAnsi="Times New Roman" w:eastAsia="宋体"/>
          <w:b/>
          <w:sz w:val="21"/>
        </w:rPr>
        <w:t>7.4.2 预报更新价值检验</w:t>
      </w:r>
    </w:p>
    <w:p>
      <w:r>
        <w:rPr>
          <w:rFonts w:ascii="Times New Roman" w:hAnsi="Times New Roman" w:eastAsia="宋体"/>
          <w:b w:val="0"/>
          <w:sz w:val="21"/>
        </w:rPr>
        <w:t>预报更新价值检验表明，增加6:00和18:00更新可分别使总费用下降180301.083887元和452680.750893元，紧急购电量由200543.505301 kWh降至40496.482426 kWh；增加12:00更新使费用上升86.740043元，因此6:00和18:00更新具有显著边际价值。</w:t>
      </w:r>
    </w:p>
    <w:p>
      <w:r>
        <w:rPr>
          <w:rFonts w:ascii="Times New Roman" w:hAnsi="Times New Roman" w:eastAsia="宋体"/>
          <w:b/>
          <w:sz w:val="21"/>
        </w:rPr>
        <w:t>7.4.3 灵敏度分析</w:t>
      </w:r>
    </w:p>
    <w:p>
      <w:r>
        <w:rPr>
          <w:rFonts w:ascii="Times New Roman" w:hAnsi="Times New Roman" w:eastAsia="宋体"/>
          <w:b w:val="0"/>
          <w:sz w:val="21"/>
        </w:rPr>
        <w:t>灵敏度分析表明，光伏预报整体缩放0.90至1.10时，四个指定日期的计划购电量和调整购电量连续变化，未出现不可行或费用突变，说明模型对预报偏差具有一定鲁棒性。</w:t>
      </w:r>
    </w:p>
    <w:p>
      <w:r>
        <w:rPr>
          <w:rFonts w:ascii="Times New Roman" w:hAnsi="Times New Roman" w:eastAsia="宋体"/>
          <w:b/>
          <w:sz w:val="21"/>
        </w:rPr>
        <w:t>7.4.4 综合结论</w:t>
      </w:r>
    </w:p>
    <w:p>
      <w:r>
        <w:rPr>
          <w:rFonts w:ascii="Times New Roman" w:hAnsi="Times New Roman" w:eastAsia="宋体"/>
          <w:b w:val="0"/>
          <w:sz w:val="21"/>
        </w:rPr>
        <w:t>综上，问题三模型在满足非预期约束和储能约束的前提下，通过计划购电锁定与预报点调整购电，降低了总购电费用和紧急购电风险，所得调度策略具有可行性与合理性。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