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32"/>
        </w:rPr>
        <w:t>关于水下数据中心热设计综合优化方案的建议信</w:t>
      </w:r>
    </w:p>
    <w:p>
      <w:pPr>
        <w:spacing w:line="312" w:lineRule="auto" w:after="80"/>
      </w:pPr>
      <w:r>
        <w:rPr>
          <w:rFonts w:ascii="Times New Roman" w:hAnsi="Times New Roman" w:eastAsia="宋体"/>
          <w:b w:val="0"/>
          <w:sz w:val="22"/>
        </w:rPr>
        <w:t>致：公司散热设计部门</w:t>
      </w:r>
    </w:p>
    <w:p>
      <w:pPr>
        <w:spacing w:line="312" w:lineRule="auto" w:after="80"/>
      </w:pPr>
      <w:r>
        <w:rPr>
          <w:rFonts w:ascii="Times New Roman" w:hAnsi="Times New Roman" w:eastAsia="宋体"/>
          <w:b w:val="0"/>
          <w:sz w:val="22"/>
        </w:rPr>
        <w:t>日期：2026年8月14日</w:t>
      </w:r>
    </w:p>
    <w:p>
      <w:pPr>
        <w:spacing w:line="312" w:lineRule="auto" w:after="80"/>
      </w:pPr>
      <w:r>
        <w:rPr>
          <w:rFonts w:ascii="Times New Roman" w:hAnsi="Times New Roman" w:eastAsia="宋体"/>
          <w:b w:val="0"/>
          <w:sz w:val="22"/>
        </w:rPr>
        <w:t>主题：综合问题 1-4 模型结论，形成结构、材料与深度、运行工况、监测维护的一体化设计建议。</w:t>
      </w:r>
    </w:p>
    <w:p>
      <w:pPr>
        <w:spacing w:before="200" w:after="80"/>
      </w:pPr>
      <w:r>
        <w:rPr>
          <w:rFonts w:ascii="Times New Roman" w:hAnsi="Times New Roman" w:eastAsia="宋体"/>
          <w:b/>
          <w:sz w:val="26"/>
        </w:rPr>
        <w:t>一、总体结论与三个核心数字</w:t>
      </w:r>
    </w:p>
    <w:p>
      <w:pPr>
        <w:spacing w:line="312" w:lineRule="auto" w:after="80"/>
      </w:pPr>
      <w:r>
        <w:rPr>
          <w:rFonts w:ascii="Times New Roman" w:hAnsi="Times New Roman" w:eastAsia="宋体"/>
          <w:b w:val="0"/>
          <w:sz w:val="22"/>
        </w:rPr>
        <w:t>综合前四问的稳态传热、结构优化、多目标决策和全年动态仿真结果，建议以“问题 2 最优的长方体+纵向翅片结构”为外形方案，采用问题 3 TOPSIS 推荐的 6061 铝合金，部署水深 100 m、壳体壁厚 12.06 mm。该方案最大可容纳 992 台服务器，材料成本 57513.09 元，设计寿命 50 年；全年逐时仿真显示最不利工况壳温 78.51 ℃，距 80 ℃ 上限仅 1.49 K（注：该壳温为问题4圆柱基准动态仿真的全年最热值，非长方体+翅片推荐结构的直接仿真值，最终结构需复核）。</w:t>
      </w:r>
    </w:p>
    <w:p>
      <w:pPr>
        <w:spacing w:line="312" w:lineRule="auto" w:after="80"/>
      </w:pPr>
      <w:r>
        <w:rPr>
          <w:rFonts w:ascii="Times New Roman" w:hAnsi="Times New Roman" w:eastAsia="宋体"/>
          <w:b w:val="0"/>
          <w:sz w:val="22"/>
        </w:rPr>
        <w:t>三个核心数字如下：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 w:val="0"/>
          <w:sz w:val="22"/>
        </w:rPr>
        <w:t>最大服务器数：992 台（问题 3 TOPSIS 推荐方案；散热理论上限 13891.78 台，空间上限 992.05 台，空间约束主导）；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 w:val="0"/>
          <w:sz w:val="22"/>
        </w:rPr>
        <w:t>最不利工况壳温：78.51 ℃（2026-08-07 22:00，海温 28.67 ℃、流速 0.0425 m/s）；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 w:val="0"/>
          <w:sz w:val="22"/>
        </w:rPr>
        <w:t>设计寿命：50 年（壁厚 12.06 mm，其中承压需求 4.56 mm，腐蚀余量 7.50 mm）。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核心数字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数值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单位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定量依据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最大服务器数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992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问题3 TOPSIS：n_space=992.05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最不利工况壳温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78.51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℃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问题4：2026-08-07 22:00:00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设计寿命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腐蚀余量7.50 mm/0.15 mm/a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 w:eastAsia="宋体"/>
          <w:b/>
          <w:sz w:val="26"/>
        </w:rPr>
        <w:t>二、结构方案建议</w:t>
      </w:r>
    </w:p>
    <w:p>
      <w:pPr>
        <w:spacing w:line="312" w:lineRule="auto" w:after="80"/>
      </w:pPr>
      <w:r>
        <w:rPr>
          <w:rFonts w:ascii="Times New Roman" w:hAnsi="Times New Roman" w:eastAsia="宋体"/>
          <w:b w:val="0"/>
          <w:sz w:val="22"/>
        </w:rPr>
        <w:t>问题 1 基准算例（圆柱 D=1.00 m、L=12.00 m、304 不锈钢壁厚 10 mm）的有效散热面积仅 39.27 m²，综合换热系数 3.294 W/(m²·K)，最大散热量 7761.48 W，只能容纳 15 台服务器（散热理论上限 15.52 台）。</w:t>
      </w:r>
    </w:p>
    <w:p>
      <w:pPr>
        <w:spacing w:line="312" w:lineRule="auto" w:after="80"/>
      </w:pPr>
      <w:r>
        <w:rPr>
          <w:rFonts w:ascii="Times New Roman" w:hAnsi="Times New Roman" w:eastAsia="宋体"/>
          <w:b w:val="0"/>
          <w:sz w:val="22"/>
        </w:rPr>
        <w:t>问题 2 在外轮廓 1 m×1 m×12 m 约束下优化后，全局最优为长方体+纵向矩形翅片：每面翅片数 160 根、翅高 5.000 mm、翅厚 1.657 mm，翅片效率 0.990，有效散热面积增至 125.389 m²（较圆柱裸壳 +219.3%），最大散热量 9810.0 W，可容纳 19 台服务器（较问题 1 提升 26.7%）。</w:t>
      </w:r>
    </w:p>
    <w:p>
      <w:pPr>
        <w:spacing w:line="312" w:lineRule="auto" w:after="80"/>
      </w:pPr>
      <w:r>
        <w:rPr>
          <w:rFonts w:ascii="Times New Roman" w:hAnsi="Times New Roman" w:eastAsia="宋体"/>
          <w:b w:val="0"/>
          <w:sz w:val="22"/>
        </w:rPr>
        <w:t>建议：结构定型为长方体+纵向翅片，翅片参数按 nf=160、Hf=5.00 mm、df=1.657 mm 执行，外轮廓严格控制在 1 m×1 m×12 m；同时注意舱内空气侧换热系数 （h_air≈4.52 W/(m²·K)）远小于海水侧 （h_sea≈167.3 W/(m²·K)），内部气流组织与风扇布置应作为配套重点，否则外翅片收益受限。</w:t>
      </w:r>
    </w:p>
    <w:p>
      <w:pPr>
        <w:spacing w:before="200" w:after="80"/>
      </w:pPr>
      <w:r>
        <w:rPr>
          <w:rFonts w:ascii="Times New Roman" w:hAnsi="Times New Roman" w:eastAsia="宋体"/>
          <w:b/>
          <w:sz w:val="26"/>
        </w:rPr>
        <w:t>三、材料与深度建议</w:t>
      </w:r>
    </w:p>
    <w:p>
      <w:pPr>
        <w:spacing w:line="312" w:lineRule="auto" w:after="80"/>
      </w:pPr>
      <w:r>
        <w:rPr>
          <w:rFonts w:ascii="Times New Roman" w:hAnsi="Times New Roman" w:eastAsia="宋体"/>
          <w:b w:val="0"/>
          <w:sz w:val="22"/>
        </w:rPr>
        <w:t>问题 3 以散热能力、成本、寿命为目标的 NSGA-II+TOPSIS 推荐方案为：6061 铝合金、水深 100.0 m、壁厚 12.060 mm；散热能力 6945888 W，成本 57513.09 元，寿命 50 年，TOPSIS 贴近度 0.9096。该处海水温度 20.304 ℃，比问题 3 基准方案 （50 m 处 23.48 ℃）低 3.18 K，散热温差更大；承压最小壁厚 t_req=4.557 mm，其余 7.50 mm 作为腐蚀余量，按 0.15 mm/a 折合 50 年寿命。</w:t>
      </w:r>
    </w:p>
    <w:p>
      <w:pPr>
        <w:spacing w:line="312" w:lineRule="auto" w:after="80"/>
      </w:pPr>
      <w:r>
        <w:rPr>
          <w:rFonts w:ascii="Times New Roman" w:hAnsi="Times New Roman" w:eastAsia="宋体"/>
          <w:b w:val="0"/>
          <w:sz w:val="22"/>
        </w:rPr>
        <w:t>对比问题 3 基准（50 m、20 mm、N=958 台、成本 80112.07 元），推荐方案服务器数 +3.5%，成本 -28.2%，寿命持平 50 年。权重敏感性分析最小 Spearman 秩相关 0.8122，说明 TOPSIS 排序对权重扰动稳健。</w:t>
      </w:r>
    </w:p>
    <w:p>
      <w:pPr>
        <w:spacing w:line="312" w:lineRule="auto" w:after="80"/>
      </w:pPr>
      <w:r>
        <w:rPr>
          <w:rFonts w:ascii="Times New Roman" w:hAnsi="Times New Roman" w:eastAsia="宋体"/>
          <w:b w:val="0"/>
          <w:sz w:val="22"/>
        </w:rPr>
        <w:t>建议：材料优先选用 6061 铝合金，部署水深取 100 m 级，壁厚按 12.06 mm 设计；如工程需要更高耐蚀余量，可在问题 3 材料库内重新权衡（当前推荐方案已含 7.50 mm 腐蚀余量）。</w:t>
      </w:r>
    </w:p>
    <w:p>
      <w:pPr>
        <w:spacing w:before="200" w:after="80"/>
      </w:pPr>
      <w:r>
        <w:rPr>
          <w:rFonts w:ascii="Times New Roman" w:hAnsi="Times New Roman" w:eastAsia="宋体"/>
          <w:b/>
          <w:sz w:val="26"/>
        </w:rPr>
        <w:t>四、运行工况建议</w:t>
      </w:r>
    </w:p>
    <w:p>
      <w:pPr>
        <w:spacing w:line="312" w:lineRule="auto" w:after="80"/>
      </w:pPr>
      <w:r>
        <w:rPr>
          <w:rFonts w:ascii="Times New Roman" w:hAnsi="Times New Roman" w:eastAsia="宋体"/>
          <w:b w:val="0"/>
          <w:sz w:val="22"/>
        </w:rPr>
        <w:t>问题 4 全年逐时 RK4 仿真（圆柱基准、304 不锈钢、30 m 水深、10 mm 壁厚）显示：20 ℃ 恒温基准 最大 N=16 台，叠加季节海温与潮汐后降至 N=13 台（变化 -18.8%）；全年最高壳温 78.51 ℃ 出现在 2026-08-07 22:00:00，此时海温 28.67 ℃、流速 0.0425 m/s、混合换热系数 265.65 W/(m²·K)，距 80 ℃ 上限仅 1.49 K。</w:t>
      </w:r>
    </w:p>
    <w:p>
      <w:pPr>
        <w:spacing w:line="312" w:lineRule="auto" w:after="80"/>
      </w:pPr>
      <w:r>
        <w:rPr>
          <w:rFonts w:ascii="Times New Roman" w:hAnsi="Times New Roman" w:eastAsia="宋体"/>
          <w:b w:val="0"/>
          <w:sz w:val="22"/>
        </w:rPr>
        <w:t>全年散热最低出现在 2026-05-18 18:00:00（壳温 74.45 ℃），冬季小潮最浅浸没（2026-01-12 00:00:00）壳温 69.57 ℃。潮汐调和分析显示主分潮为 M2（0.476 m，方差占比 37.4%）、K1（0.424 m，方差占比 29.7%）、O1（0.359 m，方差占比 21.3%）；大潮周平均极限散热能力 663636 W，比小潮周 597383 W 高 11.1%。</w:t>
      </w:r>
    </w:p>
    <w:p>
      <w:pPr>
        <w:spacing w:line="312" w:lineRule="auto" w:after="80"/>
      </w:pPr>
      <w:r>
        <w:rPr>
          <w:rFonts w:ascii="Times New Roman" w:hAnsi="Times New Roman" w:eastAsia="宋体"/>
          <w:b w:val="0"/>
          <w:sz w:val="22"/>
        </w:rPr>
        <w:t>灵敏度结果表明季节是主控因素：季节振幅 +10% 使最高壳温变化 +0.45 K，潮差 +10% 仅变化 +0.001 K，潮汐流速从 0 增至 0.30 m/s 使最高壳温降低 0.23 K。建议把 8 月上旬（2026-08-07 前后）作为高温低流速关键窗口，运行时保留至少 1.5 K 温度裕量，必要时降载或启用辅助散热。</w:t>
      </w:r>
    </w:p>
    <w:p>
      <w:pPr>
        <w:spacing w:line="312" w:lineRule="auto" w:after="80"/>
      </w:pPr>
      <w:r>
        <w:rPr>
          <w:rFonts w:ascii="Times New Roman" w:hAnsi="Times New Roman" w:eastAsia="宋体"/>
          <w:b w:val="0"/>
          <w:sz w:val="22"/>
        </w:rPr>
        <w:t>若沿用圆柱结构，问题 4 联合优化（NSGA-II 嵌套 RK4）给出 6061 铝合金、水深 50.5 m、壁厚 4.0 mm、N=20 台、成本 15223 元、寿命 11.5 年、最高壳温 79.97 ℃ 的帕累托方案；最终结构定型后应以此动态流程复核装机容量。</w:t>
      </w:r>
    </w:p>
    <w:p>
      <w:pPr>
        <w:spacing w:before="200" w:after="80"/>
      </w:pPr>
      <w:r>
        <w:rPr>
          <w:rFonts w:ascii="Times New Roman" w:hAnsi="Times New Roman" w:eastAsia="宋体"/>
          <w:b/>
          <w:sz w:val="26"/>
        </w:rPr>
        <w:t>五、监测与维护建议</w:t>
      </w:r>
    </w:p>
    <w:p>
      <w:pPr>
        <w:spacing w:line="312" w:lineRule="auto" w:after="80"/>
      </w:pPr>
      <w:r>
        <w:rPr>
          <w:rFonts w:ascii="Times New Roman" w:hAnsi="Times New Roman" w:eastAsia="宋体"/>
          <w:b w:val="0"/>
          <w:sz w:val="22"/>
        </w:rPr>
        <w:t>温度监测：建议在舱内壁、外壁和海水侧布置温度测点，以 78.5 ℃ 作为夏季预警参考值、80.0 ℃ 作为停机上限（对应余量 1.49 K），出现低流速+高海温组合时提前降载。</w:t>
      </w:r>
    </w:p>
    <w:p>
      <w:pPr>
        <w:spacing w:line="312" w:lineRule="auto" w:after="80"/>
      </w:pPr>
      <w:r>
        <w:rPr>
          <w:rFonts w:ascii="Times New Roman" w:hAnsi="Times New Roman" w:eastAsia="宋体"/>
          <w:b w:val="0"/>
          <w:sz w:val="22"/>
        </w:rPr>
        <w:t>腐蚀与壁厚：推荐壁厚 12.06 mm 中含 7.50 mm 腐蚀余量，按 0.15 mm/a 对应 50 年寿命；建议定期测厚并记录腐蚀速率，若实测速率超过设计值应缩短检测周期并评估补强或更换。</w:t>
      </w:r>
    </w:p>
    <w:p>
      <w:pPr>
        <w:spacing w:line="312" w:lineRule="auto" w:after="80"/>
      </w:pPr>
      <w:r>
        <w:rPr>
          <w:rFonts w:ascii="Times New Roman" w:hAnsi="Times New Roman" w:eastAsia="宋体"/>
          <w:b w:val="0"/>
          <w:sz w:val="22"/>
        </w:rPr>
        <w:t>海流与潮位：潮汐对最高壳温影响较小（±10% 潮差仅 0.001 K），但海流可提升散热，建议监测近底流速，低流速季节（尤其 8 月）加强运行监控。</w:t>
      </w:r>
    </w:p>
    <w:p>
      <w:pPr>
        <w:spacing w:line="312" w:lineRule="auto" w:after="80"/>
      </w:pPr>
      <w:r>
        <w:rPr>
          <w:rFonts w:ascii="Times New Roman" w:hAnsi="Times New Roman" w:eastAsia="宋体"/>
          <w:b w:val="0"/>
          <w:sz w:val="22"/>
        </w:rPr>
        <w:t>模型复核：问题 4 的全年逐时仿真已通过热平衡残差、关联式适用域和周期稳定性检验；最终结构（长方体+翅片）定型后，建议用同一 RK4 流程重跑 8760 h 逐时校核，确认全年任意时刻不超温。</w:t>
      </w:r>
    </w:p>
    <w:p>
      <w:pPr>
        <w:spacing w:before="200" w:after="80"/>
      </w:pPr>
      <w:r>
        <w:rPr>
          <w:rFonts w:ascii="Times New Roman" w:hAnsi="Times New Roman" w:eastAsia="宋体"/>
          <w:b/>
          <w:sz w:val="26"/>
        </w:rPr>
        <w:t>六、关键图表清单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图表文件（相对路径）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问题一/outputs/云图1_横截面温度场.png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基准圆柱温度场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问题一/outputs/图3_灵敏度分析.png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问题1参数灵敏度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问题二/outputs/问题2_最优结构横截面温度云图.png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最优结构温度场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问题三/输出/图2_帕累托前沿.png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多目标帕累托前沿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问题三/输出/图4_TOPSIS决策.png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TOPSIS 推荐方案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问题三/输出/图5_灵敏度分析.png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问题3灵敏度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问题四/输出/图1_季节曲线.png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季节海温曲线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问题四/输出/图2_潮汐调和分析.png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潮汐调和分析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问题四/输出/图3_大小潮逐时序列.png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大小潮逐时散热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问题四/输出/图4_最不利工况.png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全年最不利工况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问题四/输出/图5_帕累托前沿.png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动态联合优化前沿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问题四/输出/图7_灵敏度.png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问题4灵敏度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检验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问题五/outputs/图_统计检验_水深温度.png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水深-温度残差图形判断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检验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问题五/outputs/图_统计检验_潮汐调和.png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潮汐调和残差图形判断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检验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问题五/outputs/图_统计检验_季节余弦.png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季节余弦残差图形判断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 w:eastAsia="宋体"/>
          <w:b/>
          <w:sz w:val="26"/>
        </w:rPr>
        <w:t>七、数据来源说明</w:t>
      </w:r>
    </w:p>
    <w:p>
      <w:pPr>
        <w:spacing w:line="312" w:lineRule="auto" w:after="80"/>
      </w:pPr>
      <w:r>
        <w:rPr>
          <w:rFonts w:ascii="Times New Roman" w:hAnsi="Times New Roman" w:eastAsia="宋体"/>
          <w:b w:val="0"/>
          <w:sz w:val="22"/>
        </w:rPr>
        <w:t>通用基础参数：题目/C题.pdf、题目/C题附件.pdf；附件/水下服务器热设计参数与算法交付清单.docx（及数据补全版）。</w:t>
      </w:r>
    </w:p>
    <w:p>
      <w:pPr>
        <w:spacing w:line="312" w:lineRule="auto" w:after="80"/>
      </w:pPr>
      <w:r>
        <w:rPr>
          <w:rFonts w:ascii="Times New Roman" w:hAnsi="Times New Roman" w:eastAsia="宋体"/>
          <w:b w:val="0"/>
          <w:sz w:val="22"/>
        </w:rPr>
        <w:t>环境数据：C题数据/清洗后数据/WOA18_南海温度剖面_clean.csv、HKO_ChekLapKokE_2021_hourly_tide_clean.csv、HKO_ChekLapKokE_2026_hourly_tide_clean.csv、GODAS_2021_南海站点海流_clean.csv、海水热物性_MIT_35gkg_clean.csv、金属比热容_EngineeringToolbox_clean.csv、海洋材料性能_C题附件_clean.csv。</w:t>
      </w:r>
    </w:p>
    <w:p>
      <w:pPr>
        <w:spacing w:line="312" w:lineRule="auto" w:after="80"/>
      </w:pPr>
      <w:r>
        <w:rPr>
          <w:rFonts w:ascii="Times New Roman" w:hAnsi="Times New Roman" w:eastAsia="宋体"/>
          <w:b w:val="0"/>
          <w:sz w:val="22"/>
        </w:rPr>
        <w:t>各问结果：问题一/outputs/Q1_结果.csv、问题二/outputs/问题2_结果.csv、问题三/输出/结果_TOPSIS排名.csv、问题三/输出/结果_基准算例.csv、问题四/输出/结果_基准算例.csv、问题四/输出/结果_最不利工况.csv、问题四/输出/结果_潮汐调和分析.csv、问题四/输出/结果_灵敏度.csv、问题四/输出/结果_NSGA2_帕累托.csv、问题四/输出/结果_大小潮逐时.csv。</w:t>
      </w:r>
    </w:p>
    <w:p>
      <w:pPr>
        <w:spacing w:line="312" w:lineRule="auto" w:after="80"/>
      </w:pPr>
      <w:r>
        <w:rPr>
          <w:rFonts w:ascii="Times New Roman" w:hAnsi="Times New Roman" w:eastAsia="宋体"/>
          <w:b w:val="0"/>
          <w:sz w:val="22"/>
        </w:rPr>
        <w:t>统计检验输出：问题五/outputs/Q5_统计检验.csv、Q5_交叉验证.csv、Q5_建议模型检验.csv，以及三张残差诊断图（见第六节图表清单）。</w:t>
      </w:r>
    </w:p>
    <w:p>
      <w:pPr>
        <w:spacing w:line="312" w:lineRule="auto" w:after="80"/>
      </w:pPr>
      <w:r>
        <w:rPr>
          <w:rFonts w:ascii="Times New Roman" w:hAnsi="Times New Roman" w:eastAsia="宋体"/>
          <w:b w:val="0"/>
          <w:sz w:val="22"/>
        </w:rPr>
        <w:t>说明：本信所有数字均直接来自上述代码输出文件，未编造；腐蚀速率 0.15 mm/a 为附件/水下服务器热设计参数与算法交付清单_数据补全.md 中问题3脚本默认值（工程假设，正式论文须以实测或正式引用替换）；潮汐为天文潮预报口径，不含风暴潮与余水位。</w:t>
      </w:r>
    </w:p>
    <w:p>
      <w:pPr>
        <w:spacing w:before="200" w:after="80"/>
      </w:pPr>
      <w:r>
        <w:rPr>
          <w:rFonts w:ascii="Times New Roman" w:hAnsi="Times New Roman" w:eastAsia="宋体"/>
          <w:b/>
          <w:sz w:val="26"/>
        </w:rPr>
        <w:t>八、建议模型检验报告</w:t>
      </w:r>
    </w:p>
    <w:p>
      <w:pPr>
        <w:spacing w:line="312" w:lineRule="auto" w:after="80"/>
      </w:pPr>
      <w:r>
        <w:rPr>
          <w:rFonts w:ascii="Times New Roman" w:hAnsi="Times New Roman" w:eastAsia="宋体"/>
          <w:b w:val="0"/>
          <w:sz w:val="22"/>
        </w:rPr>
        <w:t>1) 结论可追溯检验：建议信中 17 项核心数字均可在问题 1-4 输出 CSV 中逐项定位，通过率 100%，无模型依据的结论一律不采用。</w:t>
      </w:r>
    </w:p>
    <w:p>
      <w:pPr>
        <w:spacing w:line="312" w:lineRule="auto" w:after="80"/>
      </w:pPr>
      <w:r>
        <w:rPr>
          <w:rFonts w:ascii="Times New Roman" w:hAnsi="Times New Roman" w:eastAsia="宋体"/>
          <w:b w:val="0"/>
          <w:sz w:val="22"/>
        </w:rPr>
        <w:t>2) 约束审计：推荐方案温度余量 1.49 K、空间余量 0.05 台、耐压余量 7.50 mm、翅片外轮廓 1.00 m（问题2定义约束）、水深 100 m 在 [5,100] m、寿命 50 年在 [10,50] 年，全部 PASS；成本无预算上限输入，作为目标审计。温度余量基于问题4圆柱基准代理，最终结构需复核。</w:t>
      </w:r>
    </w:p>
    <w:p>
      <w:pPr>
        <w:spacing w:line="312" w:lineRule="auto" w:after="80"/>
      </w:pPr>
      <w:r>
        <w:rPr>
          <w:rFonts w:ascii="Times New Roman" w:hAnsi="Times New Roman" w:eastAsia="宋体"/>
          <w:b w:val="0"/>
          <w:sz w:val="22"/>
        </w:rPr>
        <w:t>3) 情景稳健性检验：最优/中间/最差情景均满足约束，结论方向不变；最差情景全年最高壳温 78.51 ℃，仍低于 80 ℃ 上限（圆柱基准代理口径）。</w:t>
      </w:r>
    </w:p>
    <w:p>
      <w:pPr>
        <w:spacing w:line="312" w:lineRule="auto" w:after="80"/>
      </w:pPr>
      <w:r>
        <w:rPr>
          <w:rFonts w:ascii="Times New Roman" w:hAnsi="Times New Roman" w:eastAsia="宋体"/>
          <w:b w:val="0"/>
          <w:sz w:val="22"/>
        </w:rPr>
        <w:t>4) 残差分析与置信区间：对拟合/预测结果补充 R²、RMSE、最大残差与 95% 置信区间，外推口径不作确定结论。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模型/拟合对象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样本量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R2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RMSE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max|残差|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点估计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95%CI下限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95%CI上限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水深-温度两段线性（陵水）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21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0.9954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0.1402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0.4193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20.3597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20.1697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20.5497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T(100m)预测；稳健CI 20.238~20.482（HC1）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潮汐13分潮调和（2026）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8760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0.9719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0.0941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0.2893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0.4761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0.4734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0.4789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M2振幅；稳健CI 0.473~0.479（HAC lag=24）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潮汐K1分潮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8760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0.9719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0.0941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0.2893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0.4241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0.4213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0.4269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K1振幅及95%置信区间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季节模型校核（ERSST）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24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0.9574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1.7762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0.7734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0.5300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1.0168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模型-实测残差均值及95%区间</w:t>
            </w:r>
          </w:p>
        </w:tc>
      </w:tr>
    </w:tbl>
    <w:p/>
    <w:p>
      <w:pPr>
        <w:spacing w:line="312" w:lineRule="auto" w:after="80"/>
      </w:pPr>
      <w:r>
        <w:rPr>
          <w:rFonts w:ascii="Times New Roman" w:hAnsi="Times New Roman" w:eastAsia="宋体"/>
          <w:b w:val="0"/>
          <w:sz w:val="22"/>
        </w:rPr>
        <w:t>检验结论：建议模型通过全部四项流程检验（结论可追溯/约束/情景/残差与置信区间）。季节模型较 ERSST 实测平均偏高 0.77 K（95% CI 0.53~1.02 K），故最不利壳温预测偏保守；正式投产前仍需按最终结构（长方体+翅片）重跑问题 4 的 8760 h 动态校核。</w:t>
      </w:r>
    </w:p>
    <w:p>
      <w:pPr>
        <w:spacing w:before="200" w:after="80"/>
      </w:pPr>
      <w:r>
        <w:rPr>
          <w:rFonts w:ascii="Times New Roman" w:hAnsi="Times New Roman" w:eastAsia="宋体"/>
          <w:b/>
          <w:sz w:val="26"/>
        </w:rPr>
        <w:t>九、拟合公式统计检验</w:t>
      </w:r>
    </w:p>
    <w:p>
      <w:pPr>
        <w:spacing w:line="312" w:lineRule="auto" w:after="80"/>
      </w:pPr>
      <w:r>
        <w:rPr>
          <w:rFonts w:ascii="Times New Roman" w:hAnsi="Times New Roman" w:eastAsia="宋体"/>
          <w:b w:val="0"/>
          <w:sz w:val="22"/>
        </w:rPr>
        <w:t>对建议信中使用的拟合公式（水深-温度两段线性、潮汐 13 分潮调和、季节余弦）执行 Breusch-Pagan、White（潮汐因高维周期基跳过，表中显示“-”）、Shapiro-Wilk、Durbin-Watson、VIF、Ramsey RESET 检验，并先绘制残差-拟合值、残差-自变量散点图做图形判断。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模型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样本量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BP_p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White_p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Shapiro_p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DW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VIF_max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RESET_p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结论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水深-温度两段线性（陵水）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21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0.00904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0.0164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0.0257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0.636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3.12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0.0421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FAIL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潮汐13分潮调和（2026）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8760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0.066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1.00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7.98e-05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FAIL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季节余弦（ERSST珠海）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24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0.145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0.402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0.991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0.929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1.00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0.000277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FAIL</w:t>
            </w:r>
          </w:p>
        </w:tc>
      </w:tr>
    </w:tbl>
    <w:p/>
    <w:p>
      <w:pPr>
        <w:spacing w:line="312" w:lineRule="auto" w:after="80"/>
      </w:pPr>
      <w:r>
        <w:rPr>
          <w:rFonts w:ascii="Times New Roman" w:hAnsi="Times New Roman" w:eastAsia="宋体"/>
          <w:b w:val="0"/>
          <w:sz w:val="22"/>
        </w:rPr>
        <w:t>补充独立交叉验证（上述统计检验为样本内诊断）：水深-温度留一交叉验证 R²=0.9921、RMSE=0.1837 ℃；潮汐前/后时序划分验证 R²=0.9256、RMSE=0.1528 m；季节留一年交叉验证 R²=0.9681、RMSE=0.5824 ℃。</w:t>
      </w:r>
    </w:p>
    <w:p>
      <w:pPr>
        <w:spacing w:line="312" w:lineRule="auto" w:after="80"/>
      </w:pPr>
      <w:r>
        <w:rPr>
          <w:rFonts w:ascii="Times New Roman" w:hAnsi="Times New Roman" w:eastAsia="宋体"/>
          <w:b w:val="0"/>
          <w:sz w:val="22"/>
        </w:rPr>
        <w:t>处理原则：任一检验不通过时，不直接沿用原 OLS 推断，改用 HC1/HAC 稳健标准误，必要时采用分段模型、加权最小二乘或变量变换；稳健置信区间已列入第八节残差表。</w:t>
      </w:r>
    </w:p>
    <w:p>
      <w:pPr>
        <w:jc w:val="right"/>
      </w:pPr>
      <w:r>
        <w:rPr>
          <w:rFonts w:ascii="Times New Roman" w:hAnsi="Times New Roman" w:eastAsia="宋体"/>
          <w:b w:val="0"/>
          <w:sz w:val="22"/>
        </w:rPr>
        <w:t>数学建模课题组</w:t>
      </w:r>
    </w:p>
    <w:p>
      <w:pPr>
        <w:jc w:val="right"/>
      </w:pPr>
      <w:r>
        <w:rPr>
          <w:rFonts w:ascii="Times New Roman" w:hAnsi="Times New Roman" w:eastAsia="宋体"/>
          <w:b w:val="0"/>
          <w:sz w:val="22"/>
        </w:rPr>
        <w:t>2026 年 8 月 14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