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880000" cy="919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u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1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2"/>
            <w:shd w:fill="006694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C926"/>
                <w:sz w:val="33"/>
              </w:rPr>
              <w:t>PROJECT AND TEAM INFORMATION</w:t>
            </w:r>
          </w:p>
        </w:tc>
      </w:tr>
    </w:tbl>
    <w:p>
      <w:pPr>
        <w:spacing w:after="0"/>
      </w:pPr>
    </w:p>
    <w:p>
      <w:pPr>
        <w:spacing w:after="360" w:before="0"/>
      </w:pPr>
    </w:p>
    <w:p>
      <w:pPr>
        <w:keepNext/>
        <w:spacing w:before="80" w:after="160"/>
      </w:pPr>
      <w:r>
        <w:rPr>
          <w:rFonts w:ascii="Times New Roman" w:hAnsi="Times New Roman"/>
          <w:b w:val="0"/>
          <w:color w:val="2B5B91"/>
          <w:sz w:val="36"/>
        </w:rPr>
        <w:t>Project Title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1"/>
      </w:tblGrid>
      <w:tr>
        <w:trPr>
          <w:trHeight w:val="567" w:hRule="atLeast"/>
        </w:trPr>
        <w:tc>
          <w:tcPr>
            <w:tcW w:type="dxa" w:w="9922"/>
            <w:vAlign w:val="top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</w:tcPr>
          <w:p>
            <w:pPr>
              <w:spacing w:before="100" w:after="80"/>
            </w:pPr>
            <w:r/>
            <w:r>
              <w:rPr>
                <w:rFonts w:ascii="Times New Roman" w:hAnsi="Times New Roman"/>
                <w:sz w:val="21"/>
              </w:rPr>
              <w:t>OS User Activity Monitoring &amp; Insider Threat Detection System</w:t>
            </w:r>
          </w:p>
        </w:tc>
      </w:tr>
    </w:tbl>
    <w:p>
      <w:pPr>
        <w:spacing w:after="0"/>
      </w:pPr>
    </w:p>
    <w:p>
      <w:pPr>
        <w:spacing w:after="32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5669"/>
      </w:tblGrid>
      <w:tr>
        <w:tc>
          <w:tcPr>
            <w:tcW w:type="dxa" w:w="4961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shd w:fill="EDF3FA"/>
          </w:tcPr>
          <w:p>
            <w:r>
              <w:rPr>
                <w:rFonts w:ascii="Times New Roman" w:hAnsi="Times New Roman"/>
                <w:b/>
                <w:sz w:val="21"/>
              </w:rPr>
              <w:t>Team information</w:t>
            </w:r>
          </w:p>
        </w:tc>
        <w:tc>
          <w:tcPr>
            <w:tcW w:type="dxa" w:w="4961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shd w:fill="EDF3FA"/>
          </w:tcPr>
          <w:p>
            <w:r>
              <w:rPr>
                <w:rFonts w:ascii="Times New Roman" w:hAnsi="Times New Roman"/>
                <w:b/>
                <w:sz w:val="21"/>
              </w:rPr>
              <w:t>Details</w:t>
            </w:r>
          </w:p>
        </w:tc>
      </w:tr>
      <w:tr>
        <w:trPr>
          <w:trHeight w:val="425" w:hRule="atLeast"/>
        </w:trPr>
        <w:tc>
          <w:tcPr>
            <w:tcW w:type="dxa" w:w="4252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</w:tcPr>
          <w:p>
            <w:r>
              <w:rPr>
                <w:rFonts w:ascii="Times New Roman" w:hAnsi="Times New Roman"/>
                <w:sz w:val="20"/>
              </w:rPr>
              <w:t>Team name and number</w:t>
            </w:r>
          </w:p>
        </w:tc>
        <w:tc>
          <w:tcPr>
            <w:tcW w:type="dxa" w:w="5669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</w:tcPr>
          <w:p>
            <w:r>
              <w:rPr>
                <w:rFonts w:ascii="Times New Roman" w:hAnsi="Times New Roman"/>
                <w:sz w:val="20"/>
              </w:rPr>
              <w:t>KernelGuard  |  OSDBMS-V-2026-T298</w:t>
            </w:r>
          </w:p>
        </w:tc>
      </w:tr>
      <w:tr>
        <w:trPr>
          <w:trHeight w:val="425" w:hRule="atLeast"/>
        </w:trPr>
        <w:tc>
          <w:tcPr>
            <w:tcW w:type="dxa" w:w="4252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</w:tcPr>
          <w:p>
            <w:r>
              <w:rPr>
                <w:rFonts w:ascii="Times New Roman" w:hAnsi="Times New Roman"/>
                <w:sz w:val="20"/>
              </w:rPr>
              <w:t>Mentor</w:t>
            </w:r>
          </w:p>
        </w:tc>
        <w:tc>
          <w:tcPr>
            <w:tcW w:type="dxa" w:w="5669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</w:tcPr>
          <w:p>
            <w:r>
              <w:rPr>
                <w:rFonts w:ascii="Times New Roman" w:hAnsi="Times New Roman"/>
                <w:sz w:val="20"/>
              </w:rPr>
              <w:t>(Prof.)Dr.Mohammad Wazid</w:t>
            </w:r>
          </w:p>
        </w:tc>
      </w:tr>
      <w:tr>
        <w:trPr>
          <w:trHeight w:val="1729" w:hRule="atLeast"/>
        </w:trPr>
        <w:tc>
          <w:tcPr>
            <w:tcW w:type="dxa" w:w="4252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Team member 1 (Team Lead)</w:t>
            </w:r>
          </w:p>
        </w:tc>
        <w:tc>
          <w:tcPr>
            <w:tcW w:type="dxa" w:w="5669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Arshpreet Singh  |  24021835</w:t>
              <w:br/>
              <w:t>24021835@geu.ac.in</w:t>
            </w:r>
          </w:p>
          <w:p>
            <w:pPr>
              <w:spacing w:before="60" w:after="0"/>
            </w:pPr>
            <w:r>
              <w:drawing>
                <wp:inline xmlns:a="http://schemas.openxmlformats.org/drawingml/2006/main" xmlns:pic="http://schemas.openxmlformats.org/drawingml/2006/picture">
                  <wp:extent cx="531059" cy="66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shpree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059" cy="66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29" w:hRule="atLeast"/>
        </w:trPr>
        <w:tc>
          <w:tcPr>
            <w:tcW w:type="dxa" w:w="4252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Team member 2</w:t>
            </w:r>
          </w:p>
        </w:tc>
        <w:tc>
          <w:tcPr>
            <w:tcW w:type="dxa" w:w="5669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Mohd Ahmed Khan  |  24021365</w:t>
              <w:br/>
              <w:t>24021365@geu.ac.in</w:t>
            </w:r>
          </w:p>
          <w:p>
            <w:pPr>
              <w:spacing w:before="60" w:after="0"/>
            </w:pPr>
            <w:r>
              <w:drawing>
                <wp:inline xmlns:a="http://schemas.openxmlformats.org/drawingml/2006/main" xmlns:pic="http://schemas.openxmlformats.org/drawingml/2006/picture">
                  <wp:extent cx="666000" cy="66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hmed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66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29" w:hRule="atLeast"/>
        </w:trPr>
        <w:tc>
          <w:tcPr>
            <w:tcW w:type="dxa" w:w="4252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Team member 3</w:t>
            </w:r>
          </w:p>
        </w:tc>
        <w:tc>
          <w:tcPr>
            <w:tcW w:type="dxa" w:w="5669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Ankit  |  240212134</w:t>
              <w:br/>
              <w:t>240212134@geu.ac.in</w:t>
            </w:r>
          </w:p>
          <w:p>
            <w:pPr>
              <w:spacing w:before="60" w:after="0"/>
            </w:pPr>
            <w:r>
              <w:drawing>
                <wp:inline xmlns:a="http://schemas.openxmlformats.org/drawingml/2006/main" xmlns:pic="http://schemas.openxmlformats.org/drawingml/2006/picture">
                  <wp:extent cx="526997" cy="66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nki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97" cy="66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29" w:hRule="atLeast"/>
        </w:trPr>
        <w:tc>
          <w:tcPr>
            <w:tcW w:type="dxa" w:w="4252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Team member 4</w:t>
            </w:r>
          </w:p>
        </w:tc>
        <w:tc>
          <w:tcPr>
            <w:tcW w:type="dxa" w:w="5669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Mohd Shoaib  |  240211124</w:t>
              <w:br/>
              <w:t>240211124@geu.ac.in</w:t>
            </w:r>
          </w:p>
          <w:p>
            <w:pPr>
              <w:spacing w:before="60" w:after="0"/>
            </w:pPr>
            <w:r>
              <w:drawing>
                <wp:inline xmlns:a="http://schemas.openxmlformats.org/drawingml/2006/main" xmlns:pic="http://schemas.openxmlformats.org/drawingml/2006/picture">
                  <wp:extent cx="534470" cy="66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aib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70" cy="66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9922"/>
            <w:shd w:fill="006694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/>
                <w:color w:val="FFC926"/>
                <w:sz w:val="33"/>
              </w:rPr>
              <w:t>PHASE-II PROJECT PROGRESS DESCRIPTION (35 pts)</w:t>
            </w:r>
          </w:p>
        </w:tc>
      </w:tr>
    </w:tbl>
    <w:p>
      <w:pPr>
        <w:spacing w:after="0"/>
      </w:pPr>
    </w:p>
    <w:p>
      <w:pPr>
        <w:spacing w:after="300" w:before="0"/>
      </w:pPr>
    </w:p>
    <w:p>
      <w:pPr>
        <w:keepNext/>
        <w:spacing w:before="80" w:after="160"/>
      </w:pPr>
      <w:r>
        <w:rPr>
          <w:rFonts w:ascii="Times New Roman" w:hAnsi="Times New Roman"/>
          <w:b w:val="0"/>
          <w:color w:val="2B5B91"/>
          <w:sz w:val="36"/>
        </w:rPr>
        <w:t>Project Abstract (2 pts)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1"/>
      </w:tblGrid>
      <w:tr>
        <w:trPr>
          <w:trHeight w:val="2041" w:hRule="atLeast"/>
        </w:trPr>
        <w:tc>
          <w:tcPr>
            <w:tcW w:type="dxa" w:w="9922"/>
            <w:vAlign w:val="top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</w:tcPr>
          <w:p>
            <w:pPr>
              <w:spacing w:before="100" w:after="80"/>
            </w:pPr>
            <w:r/>
            <w:r>
              <w:rPr>
                <w:rFonts w:ascii="Times New Roman" w:hAnsi="Times New Roman"/>
                <w:sz w:val="21"/>
              </w:rPr>
              <w:t>KernelGuard Phase II demonstrates a traceable path from Linux Audit output to an administrator alert. A collector groups related audit records, extracts selected identity and file fields, and stores them in a dedicated MySQL database. Two rules identify repeated authentication failures and successful protected-file access outside configured hours. The dashboard shows each alert with its supporting events and policy values. The nine-event fixture is clearly labelled synthetic, while live records carry a separate origin.</w:t>
            </w:r>
          </w:p>
        </w:tc>
      </w:tr>
    </w:tbl>
    <w:p>
      <w:pPr>
        <w:spacing w:after="0"/>
      </w:pPr>
    </w:p>
    <w:p>
      <w:pPr>
        <w:spacing w:after="240" w:before="0"/>
      </w:pPr>
    </w:p>
    <w:p>
      <w:pPr>
        <w:keepNext/>
        <w:spacing w:before="80" w:after="160"/>
      </w:pPr>
      <w:r>
        <w:rPr>
          <w:rFonts w:ascii="Times New Roman" w:hAnsi="Times New Roman"/>
          <w:b w:val="0"/>
          <w:color w:val="2B5B91"/>
          <w:sz w:val="36"/>
        </w:rPr>
        <w:t>Updated Project Approach and Architecture (2 pts)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1"/>
      </w:tblGrid>
      <w:tr>
        <w:trPr>
          <w:trHeight w:val="2693" w:hRule="atLeast"/>
        </w:trPr>
        <w:tc>
          <w:tcPr>
            <w:tcW w:type="dxa" w:w="9922"/>
            <w:vAlign w:val="top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</w:tcPr>
          <w:p>
            <w:pPr>
              <w:spacing w:before="100" w:after="80"/>
            </w:pPr>
            <w:r/>
            <w:r>
              <w:rPr>
                <w:rFonts w:ascii="Times New Roman" w:hAnsi="Times New Roman"/>
                <w:sz w:val="21"/>
              </w:rPr>
              <w:t>A Linux audit rule watches a protected directory. The parser groups lines by audit event identity and normalizes timestamps, outcome, UID fields and path metadata. A unique source identifier prevents duplicate imports. The collector obtains a MySQL writer lock and stores events, alerts and its checkpoint in one transaction. SQLAlchemy defines eight tables with keys, foreign keys and indexes. Flask serves a localhost dashboard through a SELECT-only database account. A separate fixture imports controlled events for repeatable classroom evaluation. This phase deliberately limits detection to two rules so the evidence path can be inspected end to end.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80" w:after="160"/>
      </w:pPr>
      <w:r>
        <w:rPr>
          <w:rFonts w:ascii="Times New Roman" w:hAnsi="Times New Roman"/>
          <w:b w:val="0"/>
          <w:color w:val="2B5B91"/>
          <w:sz w:val="36"/>
        </w:rPr>
        <w:t>Tasks Completed (7 pts)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685"/>
      </w:tblGrid>
      <w:tr>
        <w:tc>
          <w:tcPr>
            <w:tcW w:type="dxa" w:w="4961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shd w:fill="EDF3F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Task Completed</w:t>
            </w:r>
          </w:p>
        </w:tc>
        <w:tc>
          <w:tcPr>
            <w:tcW w:type="dxa" w:w="4961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shd w:fill="EDF3F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Team Member</w:t>
            </w:r>
          </w:p>
        </w:tc>
      </w:tr>
      <w:tr>
        <w:trPr>
          <w:trHeight w:val="454" w:hRule="atLeast"/>
        </w:trPr>
        <w:tc>
          <w:tcPr>
            <w:tcW w:type="dxa" w:w="6236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Audit rule, parser and checkpoint collector</w:t>
            </w:r>
          </w:p>
        </w:tc>
        <w:tc>
          <w:tcPr>
            <w:tcW w:type="dxa" w:w="3685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Arshpreet Singh</w:t>
            </w:r>
          </w:p>
        </w:tc>
      </w:tr>
      <w:tr>
        <w:trPr>
          <w:trHeight w:val="454" w:hRule="atLeast"/>
        </w:trPr>
        <w:tc>
          <w:tcPr>
            <w:tcW w:type="dxa" w:w="6236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Eight-table MySQL schema and SQL queries</w:t>
            </w:r>
          </w:p>
        </w:tc>
        <w:tc>
          <w:tcPr>
            <w:tcW w:type="dxa" w:w="3685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Mohd Ahmed Khan</w:t>
            </w:r>
          </w:p>
        </w:tc>
      </w:tr>
      <w:tr>
        <w:trPr>
          <w:trHeight w:val="454" w:hRule="atLeast"/>
        </w:trPr>
        <w:tc>
          <w:tcPr>
            <w:tcW w:type="dxa" w:w="6236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Two policies and fixture checks</w:t>
            </w:r>
          </w:p>
        </w:tc>
        <w:tc>
          <w:tcPr>
            <w:tcW w:type="dxa" w:w="3685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Ankit</w:t>
            </w:r>
          </w:p>
        </w:tc>
      </w:tr>
      <w:tr>
        <w:trPr>
          <w:trHeight w:val="454" w:hRule="atLeast"/>
        </w:trPr>
        <w:tc>
          <w:tcPr>
            <w:tcW w:type="dxa" w:w="6236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Read-only dashboard and alert evidence pages</w:t>
            </w:r>
          </w:p>
        </w:tc>
        <w:tc>
          <w:tcPr>
            <w:tcW w:type="dxa" w:w="3685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Mohd Shoaib</w:t>
            </w:r>
          </w:p>
        </w:tc>
      </w:tr>
    </w:tbl>
    <w:p>
      <w:pPr>
        <w:spacing w:after="0"/>
      </w:pPr>
    </w:p>
    <w:p>
      <w:pPr>
        <w:spacing w:after="280" w:before="0"/>
      </w:pPr>
    </w:p>
    <w:p>
      <w:pPr>
        <w:keepNext/>
        <w:spacing w:before="80" w:after="160"/>
      </w:pPr>
      <w:r>
        <w:rPr>
          <w:rFonts w:ascii="Times New Roman" w:hAnsi="Times New Roman"/>
          <w:b w:val="0"/>
          <w:color w:val="2B5B91"/>
          <w:sz w:val="36"/>
        </w:rPr>
        <w:t>Challenges/Roadblocks (7 pts)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1"/>
      </w:tblGrid>
      <w:tr>
        <w:trPr>
          <w:trHeight w:val="2296" w:hRule="atLeast"/>
        </w:trPr>
        <w:tc>
          <w:tcPr>
            <w:tcW w:type="dxa" w:w="9922"/>
            <w:vAlign w:val="top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</w:tcPr>
          <w:p>
            <w:pPr>
              <w:spacing w:before="100" w:after="80"/>
            </w:pPr>
            <w:r/>
            <w:r>
              <w:rPr>
                <w:rFonts w:ascii="Times New Roman" w:hAnsi="Times New Roman"/>
                <w:sz w:val="21"/>
              </w:rPr>
              <w:t>Linux Audit emits several lines for one action, so the parser must form a complete event before applying a rule. Collector restarts can replay records; unique source IDs and a checkpoint in the write transaction address that case. The fixture makes demonstrations reproducible but cannot establish live collection. A controlled protected-file read and MySQL 8.4 integration check were therefore recorded separately on the Kali lab host.</w:t>
            </w:r>
          </w:p>
        </w:tc>
      </w:tr>
    </w:tbl>
    <w:p>
      <w:pPr>
        <w:spacing w:after="0"/>
      </w:pPr>
    </w:p>
    <w:p>
      <w:pPr>
        <w:spacing w:after="260" w:before="0"/>
      </w:pPr>
    </w:p>
    <w:p>
      <w:pPr>
        <w:keepNext/>
        <w:spacing w:before="80" w:after="160"/>
      </w:pPr>
      <w:r>
        <w:rPr>
          <w:rFonts w:ascii="Times New Roman" w:hAnsi="Times New Roman"/>
          <w:b w:val="0"/>
          <w:color w:val="2B5B91"/>
          <w:sz w:val="36"/>
        </w:rPr>
        <w:t>Tasks Pending (7 pts)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685"/>
      </w:tblGrid>
      <w:tr>
        <w:tc>
          <w:tcPr>
            <w:tcW w:type="dxa" w:w="4961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shd w:fill="EDF3F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Task Pending</w:t>
            </w:r>
          </w:p>
        </w:tc>
        <w:tc>
          <w:tcPr>
            <w:tcW w:type="dxa" w:w="4961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shd w:fill="EDF3F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Team Member</w:t>
            </w:r>
          </w:p>
        </w:tc>
      </w:tr>
      <w:tr>
        <w:trPr>
          <w:trHeight w:val="425" w:hRule="atLeast"/>
        </w:trPr>
        <w:tc>
          <w:tcPr>
            <w:tcW w:type="dxa" w:w="6236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User, session, process and USB inventory</w:t>
            </w:r>
          </w:p>
        </w:tc>
        <w:tc>
          <w:tcPr>
            <w:tcW w:type="dxa" w:w="3685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Phase III</w:t>
            </w:r>
          </w:p>
        </w:tc>
      </w:tr>
      <w:tr>
        <w:trPr>
          <w:trHeight w:val="425" w:hRule="atLeast"/>
        </w:trPr>
        <w:tc>
          <w:tcPr>
            <w:tcW w:type="dxa" w:w="6236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Three additional policy families and review history</w:t>
            </w:r>
          </w:p>
        </w:tc>
        <w:tc>
          <w:tcPr>
            <w:tcW w:type="dxa" w:w="3685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Phase III</w:t>
            </w:r>
          </w:p>
        </w:tc>
      </w:tr>
      <w:tr>
        <w:trPr>
          <w:trHeight w:val="425" w:hRule="atLeast"/>
        </w:trPr>
        <w:tc>
          <w:tcPr>
            <w:tcW w:type="dxa" w:w="6236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Physical USB acceptance check</w:t>
            </w:r>
          </w:p>
        </w:tc>
        <w:tc>
          <w:tcPr>
            <w:tcW w:type="dxa" w:w="3685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Phase III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80" w:after="160"/>
      </w:pPr>
      <w:r>
        <w:rPr>
          <w:rFonts w:ascii="Times New Roman" w:hAnsi="Times New Roman"/>
          <w:b w:val="0"/>
          <w:color w:val="2B5B91"/>
          <w:sz w:val="36"/>
        </w:rPr>
        <w:t>Project Outcome/Deliverables (2 pts)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1"/>
      </w:tblGrid>
      <w:tr>
        <w:trPr>
          <w:trHeight w:val="1899" w:hRule="atLeast"/>
        </w:trPr>
        <w:tc>
          <w:tcPr>
            <w:tcW w:type="dxa" w:w="9922"/>
            <w:vAlign w:val="top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</w:tcPr>
          <w:p>
            <w:pPr>
              <w:spacing w:before="100" w:after="80"/>
            </w:pPr>
            <w:r/>
            <w:r>
              <w:rPr>
                <w:rFonts w:ascii="Times New Roman" w:hAnsi="Times New Roman"/>
                <w:sz w:val="21"/>
              </w:rPr>
              <w:t>The Phase II deliverable is a working two-rule Linux Audit and MySQL prototype. It includes the collection rule, parser, eight-table relational model, fixture, SQL analysis queries, read-only dashboard and tests. The fixture produces nine events, two alerts and six evidence links. A Kali check dated 2 October 2026 also recorded a live protected-file read and a passing Oracle MySQL 8.4 integration run.</w:t>
            </w:r>
          </w:p>
        </w:tc>
      </w:tr>
    </w:tbl>
    <w:p>
      <w:pPr>
        <w:spacing w:after="0"/>
      </w:pPr>
    </w:p>
    <w:p>
      <w:pPr>
        <w:spacing w:after="400" w:before="0"/>
      </w:pPr>
    </w:p>
    <w:p>
      <w:pPr>
        <w:keepNext/>
        <w:spacing w:before="80" w:after="160"/>
      </w:pPr>
      <w:r>
        <w:rPr>
          <w:rFonts w:ascii="Times New Roman" w:hAnsi="Times New Roman"/>
          <w:b w:val="0"/>
          <w:color w:val="2B5B91"/>
          <w:sz w:val="36"/>
        </w:rPr>
        <w:t>Progress Overview (2 pts)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1"/>
      </w:tblGrid>
      <w:tr>
        <w:trPr>
          <w:trHeight w:val="2523" w:hRule="atLeast"/>
        </w:trPr>
        <w:tc>
          <w:tcPr>
            <w:tcW w:type="dxa" w:w="9922"/>
            <w:vAlign w:val="top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</w:tcPr>
          <w:p>
            <w:pPr>
              <w:spacing w:before="100" w:after="80"/>
            </w:pPr>
            <w:r/>
            <w:r>
              <w:rPr>
                <w:rFonts w:ascii="Times New Roman" w:hAnsi="Times New Roman"/>
                <w:sz w:val="21"/>
              </w:rPr>
              <w:t>The audit-to-alert path and local dashboard are implemented. The saved Kali check covers a controlled live file read and the MySQL-backed workflow. Broader host inventory, privileged-command and bulk-file rules, USB enrollment, and administrator decisions belong to the Phase III scope. Phase II results should be presented as a focused prototype; fixture counts are synthetic and do not measure field detection accuracy.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80" w:after="160"/>
      </w:pPr>
      <w:r>
        <w:rPr>
          <w:rFonts w:ascii="Times New Roman" w:hAnsi="Times New Roman"/>
          <w:b w:val="0"/>
          <w:color w:val="2B5B91"/>
          <w:sz w:val="36"/>
        </w:rPr>
        <w:t>Codebase Information (2 pts)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1"/>
      </w:tblGrid>
      <w:tr>
        <w:trPr>
          <w:trHeight w:val="2098" w:hRule="atLeast"/>
        </w:trPr>
        <w:tc>
          <w:tcPr>
            <w:tcW w:type="dxa" w:w="9922"/>
            <w:vAlign w:val="top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</w:tcPr>
          <w:p>
            <w:pPr>
              <w:spacing w:before="100" w:after="80"/>
            </w:pPr>
            <w:r/>
            <w:r>
              <w:rPr>
                <w:rFonts w:ascii="Times New Roman" w:hAnsi="Times New Roman"/>
                <w:sz w:val="20"/>
              </w:rPr>
              <w:t>Local source: C:\KernalGuard-Phase2-PBL. Branch: main. This standalone copy has no commit history or configured public remote. Main files: app.py, kernelguard/parser.py, kernelguard/core.py, kernelguard/locking.py, linux/kernelguard.rules, sql/schema.mysql.sql and tests/test_app.py. Technical basis: Red Hat audit-log documentation, SQLAlchemy transaction documentation and the MySQL 8.4 foreign-key manual.</w:t>
            </w:r>
          </w:p>
        </w:tc>
      </w:tr>
    </w:tbl>
    <w:p>
      <w:pPr>
        <w:spacing w:after="0"/>
      </w:pPr>
    </w:p>
    <w:p>
      <w:pPr>
        <w:spacing w:after="260" w:before="0"/>
      </w:pPr>
    </w:p>
    <w:p>
      <w:pPr>
        <w:keepNext/>
        <w:spacing w:before="80" w:after="160"/>
      </w:pPr>
      <w:r>
        <w:rPr>
          <w:rFonts w:ascii="Times New Roman" w:hAnsi="Times New Roman"/>
          <w:b w:val="0"/>
          <w:color w:val="2B5B91"/>
          <w:sz w:val="36"/>
        </w:rPr>
        <w:t>Testing and Validation Status (2 pts)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2551"/>
        <w:gridCol w:w="4252"/>
      </w:tblGrid>
      <w:tr>
        <w:tc>
          <w:tcPr>
            <w:tcW w:type="dxa" w:w="3307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shd w:fill="EDF3F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Test Type</w:t>
            </w:r>
          </w:p>
        </w:tc>
        <w:tc>
          <w:tcPr>
            <w:tcW w:type="dxa" w:w="3307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shd w:fill="EDF3F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Status</w:t>
            </w:r>
          </w:p>
        </w:tc>
        <w:tc>
          <w:tcPr>
            <w:tcW w:type="dxa" w:w="3307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shd w:fill="EDF3FA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21"/>
              </w:rPr>
              <w:t>Notes</w:t>
            </w:r>
          </w:p>
        </w:tc>
      </w:tr>
      <w:tr>
        <w:trPr>
          <w:trHeight w:val="425" w:hRule="atLeast"/>
        </w:trPr>
        <w:tc>
          <w:tcPr>
            <w:tcW w:type="dxa" w:w="3118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Local automated tests</w:t>
            </w:r>
          </w:p>
        </w:tc>
        <w:tc>
          <w:tcPr>
            <w:tcW w:type="dxa" w:w="2551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3 passed, 1 skipped</w:t>
            </w:r>
          </w:p>
        </w:tc>
        <w:tc>
          <w:tcPr>
            <w:tcW w:type="dxa" w:w="4252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MySQL test is opt-in</w:t>
            </w:r>
          </w:p>
        </w:tc>
      </w:tr>
      <w:tr>
        <w:trPr>
          <w:trHeight w:val="425" w:hRule="atLeast"/>
        </w:trPr>
        <w:tc>
          <w:tcPr>
            <w:tcW w:type="dxa" w:w="3118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MySQL 8.4 integration</w:t>
            </w:r>
          </w:p>
        </w:tc>
        <w:tc>
          <w:tcPr>
            <w:tcW w:type="dxa" w:w="2551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4 passed</w:t>
            </w:r>
          </w:p>
        </w:tc>
        <w:tc>
          <w:tcPr>
            <w:tcW w:type="dxa" w:w="4252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Recorded Kali run, 2 Oct 2026</w:t>
            </w:r>
          </w:p>
        </w:tc>
      </w:tr>
      <w:tr>
        <w:trPr>
          <w:trHeight w:val="425" w:hRule="atLeast"/>
        </w:trPr>
        <w:tc>
          <w:tcPr>
            <w:tcW w:type="dxa" w:w="3118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Controlled protected read</w:t>
            </w:r>
          </w:p>
        </w:tc>
        <w:tc>
          <w:tcPr>
            <w:tcW w:type="dxa" w:w="2551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4252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vAlign w:val="top"/>
          </w:tcPr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Live audit row recorded on Kali</w:t>
            </w:r>
          </w:p>
        </w:tc>
      </w:tr>
    </w:tbl>
    <w:p>
      <w:pPr>
        <w:spacing w:after="0"/>
      </w:pPr>
    </w:p>
    <w:p>
      <w:pPr>
        <w:spacing w:after="260" w:before="0"/>
      </w:pPr>
    </w:p>
    <w:p>
      <w:pPr>
        <w:keepNext/>
        <w:spacing w:before="80" w:after="160"/>
      </w:pPr>
      <w:r>
        <w:rPr>
          <w:rFonts w:ascii="Times New Roman" w:hAnsi="Times New Roman"/>
          <w:b w:val="0"/>
          <w:color w:val="2B5B91"/>
          <w:sz w:val="36"/>
        </w:rPr>
        <w:t>Deliverables Progress (2 pts)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1"/>
      </w:tblGrid>
      <w:tr>
        <w:trPr>
          <w:trHeight w:val="1814" w:hRule="atLeast"/>
        </w:trPr>
        <w:tc>
          <w:tcPr>
            <w:tcW w:type="dxa" w:w="9922"/>
            <w:vAlign w:val="top"/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</w:tcPr>
          <w:p>
            <w:pPr>
              <w:spacing w:before="100" w:after="80"/>
            </w:pPr>
            <w:r/>
            <w:r>
              <w:rPr>
                <w:rFonts w:ascii="Times New Roman" w:hAnsi="Times New Roman"/>
                <w:sz w:val="21"/>
              </w:rPr>
              <w:t>Completed: collector, parser, two policies, relational schema, SQL queries, fixture, dashboard and setup guide. Demonstrated separately: live Kali read and MySQL 8.4 integration. The standalone Phase II copy documents this milestone; it is not a historical Git snapshot of the original submission.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92" w:bottom="765" w:left="992" w:header="255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pBdr>
        <w:bottom w:val="single" w:color="FFC926" w:sz="12"/>
      </w:pBdr>
    </w:pPr>
    <w:r>
      <w:rPr>
        <w:sz w:val="20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932"/>
      <w:gridCol w:w="4989"/>
    </w:tblGrid>
    <w:tr>
      <w:tc>
        <w:tcPr>
          <w:tcW w:type="dxa" w:w="4961"/>
        </w:tcPr>
        <w:p>
          <w:pPr>
            <w:jc w:val="left"/>
          </w:pPr>
          <w:r>
            <w:rPr>
              <w:rFonts w:ascii="Times New Roman" w:hAnsi="Times New Roman"/>
              <w:sz w:val="21"/>
            </w:rPr>
            <w:t>OS (TCS 502) &amp; DBMS (TCS 503)</w:t>
          </w:r>
        </w:p>
      </w:tc>
      <w:tc>
        <w:tcPr>
          <w:tcW w:type="dxa" w:w="4961"/>
        </w:tcPr>
        <w:p>
          <w:pPr>
            <w:jc w:val="right"/>
          </w:pPr>
          <w:r>
            <w:rPr>
              <w:rFonts w:ascii="Times New Roman" w:hAnsi="Times New Roman"/>
              <w:sz w:val="21"/>
            </w:rPr>
            <w:t>PHASE-II PROJECT PROGRESS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