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880000" cy="919149"/>
            <wp:docPr id="1" name="Picture 1"/>
            <wp:cNvGraphicFramePr>
              <a:graphicFrameLocks noChangeAspect="1"/>
            </wp:cNvGraphicFramePr>
            <a:graphic>
              <a:graphicData uri="http://schemas.openxmlformats.org/drawingml/2006/picture">
                <pic:pic>
                  <pic:nvPicPr>
                    <pic:cNvPr id="0" name="geulogo.png"/>
                    <pic:cNvPicPr/>
                  </pic:nvPicPr>
                  <pic:blipFill>
                    <a:blip r:embed="rId11"/>
                    <a:stretch>
                      <a:fillRect/>
                    </a:stretch>
                  </pic:blipFill>
                  <pic:spPr>
                    <a:xfrm>
                      <a:off x="0" y="0"/>
                      <a:ext cx="2880000" cy="919149"/>
                    </a:xfrm>
                    <a:prstGeom prst="rect"/>
                  </pic:spPr>
                </pic:pic>
              </a:graphicData>
            </a:graphic>
          </wp:inline>
        </w:drawing>
      </w:r>
    </w:p>
    <w:p>
      <w:pPr>
        <w:spacing w:after="480" w:before="0"/>
      </w:pPr>
    </w:p>
    <w:tbl>
      <w:tblPr>
        <w:tblW w:type="auto" w:w="0"/>
        <w:tblLayout w:type="fixed"/>
        <w:tblLook w:firstColumn="1" w:firstRow="1" w:lastColumn="0" w:lastRow="0" w:noHBand="0" w:noVBand="1" w:val="04A0"/>
      </w:tblPr>
      <w:tblGrid>
        <w:gridCol w:w="9921"/>
      </w:tblGrid>
      <w:tr>
        <w:tc>
          <w:tcPr>
            <w:tcW w:type="dxa" w:w="9922"/>
            <w:shd w:fill="006694"/>
          </w:tcPr>
          <w:p>
            <w:pPr>
              <w:spacing w:after="0" w:before="0"/>
            </w:pPr>
            <w:r/>
            <w:r>
              <w:rPr>
                <w:rFonts w:ascii="Times New Roman" w:hAnsi="Times New Roman"/>
                <w:b/>
                <w:color w:val="FFC926"/>
                <w:sz w:val="33"/>
              </w:rPr>
              <w:t>PROJECT AND TEAM INFORMATION</w:t>
            </w:r>
          </w:p>
        </w:tc>
      </w:tr>
    </w:tbl>
    <w:p>
      <w:pPr>
        <w:spacing w:after="0"/>
      </w:pPr>
    </w:p>
    <w:p>
      <w:pPr>
        <w:spacing w:after="360" w:before="0"/>
      </w:pPr>
    </w:p>
    <w:p>
      <w:pPr>
        <w:keepNext/>
        <w:spacing w:before="80" w:after="160"/>
      </w:pPr>
      <w:r>
        <w:rPr>
          <w:rFonts w:ascii="Times New Roman" w:hAnsi="Times New Roman"/>
          <w:b w:val="0"/>
          <w:color w:val="2B5B91"/>
          <w:sz w:val="36"/>
        </w:rPr>
        <w:t>Project Title</w:t>
      </w:r>
    </w:p>
    <w:tbl>
      <w:tblPr>
        <w:tblW w:type="auto" w:w="0"/>
        <w:tblLayout w:type="fixed"/>
        <w:tblLook w:firstColumn="1" w:firstRow="1" w:lastColumn="0" w:lastRow="0" w:noHBand="0" w:noVBand="1" w:val="04A0"/>
      </w:tblPr>
      <w:tblGrid>
        <w:gridCol w:w="9921"/>
      </w:tblGrid>
      <w:tr>
        <w:trPr>
          <w:trHeight w:val="567" w:hRule="atLeast"/>
        </w:trPr>
        <w:tc>
          <w:tcPr>
            <w:tcW w:type="dxa" w:w="9922"/>
            <w:vAlign w:val="top"/>
            <w:tcBorders>
              <w:top w:val="single" w:color="555555" w:sz="5"/>
              <w:left w:val="single" w:color="555555" w:sz="5"/>
              <w:bottom w:val="single" w:color="555555" w:sz="5"/>
              <w:right w:val="single" w:color="555555" w:sz="5"/>
            </w:tcBorders>
          </w:tcPr>
          <w:p>
            <w:pPr>
              <w:spacing w:before="100" w:after="80"/>
            </w:pPr>
            <w:r/>
            <w:r>
              <w:rPr>
                <w:rFonts w:ascii="Times New Roman" w:hAnsi="Times New Roman"/>
                <w:sz w:val="21"/>
              </w:rPr>
              <w:t>OS User Activity Monitoring &amp; Insider Threat Detection System</w:t>
            </w:r>
          </w:p>
        </w:tc>
      </w:tr>
    </w:tbl>
    <w:p>
      <w:pPr>
        <w:spacing w:after="0"/>
      </w:pPr>
    </w:p>
    <w:p>
      <w:pPr>
        <w:spacing w:after="320" w:before="0"/>
      </w:pPr>
    </w:p>
    <w:tbl>
      <w:tblPr>
        <w:tblW w:type="auto" w:w="0"/>
        <w:tblLayout w:type="fixed"/>
        <w:tblLook w:firstColumn="1" w:firstRow="1" w:lastColumn="0" w:lastRow="0" w:noHBand="0" w:noVBand="1" w:val="04A0"/>
      </w:tblPr>
      <w:tblGrid>
        <w:gridCol w:w="4252"/>
        <w:gridCol w:w="5669"/>
      </w:tblGrid>
      <w:tr>
        <w:tc>
          <w:tcPr>
            <w:tcW w:type="dxa" w:w="4961"/>
            <w:tcBorders>
              <w:top w:val="single" w:color="555555" w:sz="5"/>
              <w:left w:val="single" w:color="555555" w:sz="5"/>
              <w:bottom w:val="single" w:color="555555" w:sz="5"/>
              <w:right w:val="single" w:color="555555" w:sz="5"/>
            </w:tcBorders>
            <w:shd w:fill="EDF3FA"/>
          </w:tcPr>
          <w:p>
            <w:r>
              <w:rPr>
                <w:rFonts w:ascii="Times New Roman" w:hAnsi="Times New Roman"/>
                <w:b/>
                <w:sz w:val="21"/>
              </w:rPr>
              <w:t>Team information</w:t>
            </w:r>
          </w:p>
        </w:tc>
        <w:tc>
          <w:tcPr>
            <w:tcW w:type="dxa" w:w="4961"/>
            <w:tcBorders>
              <w:top w:val="single" w:color="555555" w:sz="5"/>
              <w:left w:val="single" w:color="555555" w:sz="5"/>
              <w:bottom w:val="single" w:color="555555" w:sz="5"/>
              <w:right w:val="single" w:color="555555" w:sz="5"/>
            </w:tcBorders>
            <w:shd w:fill="EDF3FA"/>
          </w:tcPr>
          <w:p>
            <w:r>
              <w:rPr>
                <w:rFonts w:ascii="Times New Roman" w:hAnsi="Times New Roman"/>
                <w:b/>
                <w:sz w:val="21"/>
              </w:rPr>
              <w:t>Details</w:t>
            </w:r>
          </w:p>
        </w:tc>
      </w:tr>
      <w:tr>
        <w:trPr>
          <w:trHeight w:val="425" w:hRule="atLeast"/>
        </w:trPr>
        <w:tc>
          <w:tcPr>
            <w:tcW w:type="dxa" w:w="4252"/>
            <w:tcBorders>
              <w:top w:val="single" w:color="555555" w:sz="5"/>
              <w:left w:val="single" w:color="555555" w:sz="5"/>
              <w:bottom w:val="single" w:color="555555" w:sz="5"/>
              <w:right w:val="single" w:color="555555" w:sz="5"/>
            </w:tcBorders>
          </w:tcPr>
          <w:p>
            <w:r>
              <w:rPr>
                <w:rFonts w:ascii="Times New Roman" w:hAnsi="Times New Roman"/>
                <w:sz w:val="20"/>
              </w:rPr>
              <w:t>Team name and number</w:t>
            </w:r>
          </w:p>
        </w:tc>
        <w:tc>
          <w:tcPr>
            <w:tcW w:type="dxa" w:w="5669"/>
            <w:tcBorders>
              <w:top w:val="single" w:color="555555" w:sz="5"/>
              <w:left w:val="single" w:color="555555" w:sz="5"/>
              <w:bottom w:val="single" w:color="555555" w:sz="5"/>
              <w:right w:val="single" w:color="555555" w:sz="5"/>
            </w:tcBorders>
          </w:tcPr>
          <w:p>
            <w:r>
              <w:rPr>
                <w:rFonts w:ascii="Times New Roman" w:hAnsi="Times New Roman"/>
                <w:sz w:val="20"/>
              </w:rPr>
              <w:t>KernelGuard  |  OSDBMS-V-2026-T298</w:t>
            </w:r>
          </w:p>
        </w:tc>
      </w:tr>
      <w:tr>
        <w:trPr>
          <w:trHeight w:val="425" w:hRule="atLeast"/>
        </w:trPr>
        <w:tc>
          <w:tcPr>
            <w:tcW w:type="dxa" w:w="4252"/>
            <w:tcBorders>
              <w:top w:val="single" w:color="555555" w:sz="5"/>
              <w:left w:val="single" w:color="555555" w:sz="5"/>
              <w:bottom w:val="single" w:color="555555" w:sz="5"/>
              <w:right w:val="single" w:color="555555" w:sz="5"/>
            </w:tcBorders>
          </w:tcPr>
          <w:p>
            <w:r>
              <w:rPr>
                <w:rFonts w:ascii="Times New Roman" w:hAnsi="Times New Roman"/>
                <w:sz w:val="20"/>
              </w:rPr>
              <w:t>Mentor</w:t>
            </w:r>
          </w:p>
        </w:tc>
        <w:tc>
          <w:tcPr>
            <w:tcW w:type="dxa" w:w="5669"/>
            <w:tcBorders>
              <w:top w:val="single" w:color="555555" w:sz="5"/>
              <w:left w:val="single" w:color="555555" w:sz="5"/>
              <w:bottom w:val="single" w:color="555555" w:sz="5"/>
              <w:right w:val="single" w:color="555555" w:sz="5"/>
            </w:tcBorders>
          </w:tcPr>
          <w:p>
            <w:r>
              <w:rPr>
                <w:rFonts w:ascii="Times New Roman" w:hAnsi="Times New Roman"/>
                <w:sz w:val="20"/>
              </w:rPr>
              <w:t>(Prof.)Dr.Mohammad Wazid</w:t>
            </w:r>
          </w:p>
        </w:tc>
      </w:tr>
      <w:tr>
        <w:trPr>
          <w:trHeight w:val="1729" w:hRule="atLeast"/>
        </w:trPr>
        <w:tc>
          <w:tcPr>
            <w:tcW w:type="dxa" w:w="4252"/>
            <w:tcBorders>
              <w:top w:val="single" w:color="555555" w:sz="5"/>
              <w:left w:val="single" w:color="555555" w:sz="5"/>
              <w:bottom w:val="single" w:color="555555" w:sz="5"/>
              <w:right w:val="single" w:color="555555" w:sz="5"/>
            </w:tcBorders>
            <w:vAlign w:val="top"/>
          </w:tcPr>
          <w:p>
            <w:pPr>
              <w:spacing w:after="0"/>
            </w:pPr>
            <w:r>
              <w:rPr>
                <w:rFonts w:ascii="Times New Roman" w:hAnsi="Times New Roman"/>
                <w:sz w:val="20"/>
              </w:rPr>
              <w:t>Team member 1 (Team Lead)</w:t>
            </w:r>
          </w:p>
        </w:tc>
        <w:tc>
          <w:tcPr>
            <w:tcW w:type="dxa" w:w="5669"/>
            <w:tcBorders>
              <w:top w:val="single" w:color="555555" w:sz="5"/>
              <w:left w:val="single" w:color="555555" w:sz="5"/>
              <w:bottom w:val="single" w:color="555555" w:sz="5"/>
              <w:right w:val="single" w:color="555555" w:sz="5"/>
            </w:tcBorders>
            <w:vAlign w:val="top"/>
          </w:tcPr>
          <w:p>
            <w:pPr>
              <w:spacing w:after="0"/>
            </w:pPr>
            <w:r>
              <w:rPr>
                <w:rFonts w:ascii="Times New Roman" w:hAnsi="Times New Roman"/>
                <w:sz w:val="20"/>
              </w:rPr>
              <w:t>Arshpreet Singh  |  24021835</w:t>
              <w:br/>
              <w:t>24021835@geu.ac.in</w:t>
            </w:r>
          </w:p>
          <w:p>
            <w:pPr>
              <w:spacing w:before="60" w:after="0"/>
            </w:pPr>
            <w:r>
              <w:drawing>
                <wp:inline xmlns:a="http://schemas.openxmlformats.org/drawingml/2006/main" xmlns:pic="http://schemas.openxmlformats.org/drawingml/2006/picture">
                  <wp:extent cx="531059" cy="666000"/>
                  <wp:docPr id="2" name="Picture 2"/>
                  <wp:cNvGraphicFramePr>
                    <a:graphicFrameLocks noChangeAspect="1"/>
                  </wp:cNvGraphicFramePr>
                  <a:graphic>
                    <a:graphicData uri="http://schemas.openxmlformats.org/drawingml/2006/picture">
                      <pic:pic>
                        <pic:nvPicPr>
                          <pic:cNvPr id="0" name="arshpreet.jpg"/>
                          <pic:cNvPicPr/>
                        </pic:nvPicPr>
                        <pic:blipFill>
                          <a:blip r:embed="rId12"/>
                          <a:stretch>
                            <a:fillRect/>
                          </a:stretch>
                        </pic:blipFill>
                        <pic:spPr>
                          <a:xfrm>
                            <a:off x="0" y="0"/>
                            <a:ext cx="531059" cy="666000"/>
                          </a:xfrm>
                          <a:prstGeom prst="rect"/>
                        </pic:spPr>
                      </pic:pic>
                    </a:graphicData>
                  </a:graphic>
                </wp:inline>
              </w:drawing>
            </w:r>
          </w:p>
        </w:tc>
      </w:tr>
      <w:tr>
        <w:trPr>
          <w:trHeight w:val="1729" w:hRule="atLeast"/>
        </w:trPr>
        <w:tc>
          <w:tcPr>
            <w:tcW w:type="dxa" w:w="4252"/>
            <w:tcBorders>
              <w:top w:val="single" w:color="555555" w:sz="5"/>
              <w:left w:val="single" w:color="555555" w:sz="5"/>
              <w:bottom w:val="single" w:color="555555" w:sz="5"/>
              <w:right w:val="single" w:color="555555" w:sz="5"/>
            </w:tcBorders>
            <w:vAlign w:val="top"/>
          </w:tcPr>
          <w:p>
            <w:pPr>
              <w:spacing w:after="0"/>
            </w:pPr>
            <w:r>
              <w:rPr>
                <w:rFonts w:ascii="Times New Roman" w:hAnsi="Times New Roman"/>
                <w:sz w:val="20"/>
              </w:rPr>
              <w:t>Team member 2</w:t>
            </w:r>
          </w:p>
        </w:tc>
        <w:tc>
          <w:tcPr>
            <w:tcW w:type="dxa" w:w="5669"/>
            <w:tcBorders>
              <w:top w:val="single" w:color="555555" w:sz="5"/>
              <w:left w:val="single" w:color="555555" w:sz="5"/>
              <w:bottom w:val="single" w:color="555555" w:sz="5"/>
              <w:right w:val="single" w:color="555555" w:sz="5"/>
            </w:tcBorders>
            <w:vAlign w:val="top"/>
          </w:tcPr>
          <w:p>
            <w:pPr>
              <w:spacing w:after="0"/>
            </w:pPr>
            <w:r>
              <w:rPr>
                <w:rFonts w:ascii="Times New Roman" w:hAnsi="Times New Roman"/>
                <w:sz w:val="20"/>
              </w:rPr>
              <w:t>Mohd Ahmed Khan  |  24021365</w:t>
              <w:br/>
              <w:t>24021365@geu.ac.in</w:t>
            </w:r>
          </w:p>
          <w:p>
            <w:pPr>
              <w:spacing w:before="60" w:after="0"/>
            </w:pPr>
            <w:r>
              <w:drawing>
                <wp:inline xmlns:a="http://schemas.openxmlformats.org/drawingml/2006/main" xmlns:pic="http://schemas.openxmlformats.org/drawingml/2006/picture">
                  <wp:extent cx="666000" cy="666000"/>
                  <wp:docPr id="3" name="Picture 3"/>
                  <wp:cNvGraphicFramePr>
                    <a:graphicFrameLocks noChangeAspect="1"/>
                  </wp:cNvGraphicFramePr>
                  <a:graphic>
                    <a:graphicData uri="http://schemas.openxmlformats.org/drawingml/2006/picture">
                      <pic:pic>
                        <pic:nvPicPr>
                          <pic:cNvPr id="0" name="ahmed.jpg"/>
                          <pic:cNvPicPr/>
                        </pic:nvPicPr>
                        <pic:blipFill>
                          <a:blip r:embed="rId13"/>
                          <a:stretch>
                            <a:fillRect/>
                          </a:stretch>
                        </pic:blipFill>
                        <pic:spPr>
                          <a:xfrm>
                            <a:off x="0" y="0"/>
                            <a:ext cx="666000" cy="666000"/>
                          </a:xfrm>
                          <a:prstGeom prst="rect"/>
                        </pic:spPr>
                      </pic:pic>
                    </a:graphicData>
                  </a:graphic>
                </wp:inline>
              </w:drawing>
            </w:r>
          </w:p>
        </w:tc>
      </w:tr>
      <w:tr>
        <w:trPr>
          <w:trHeight w:val="1729" w:hRule="atLeast"/>
        </w:trPr>
        <w:tc>
          <w:tcPr>
            <w:tcW w:type="dxa" w:w="4252"/>
            <w:tcBorders>
              <w:top w:val="single" w:color="555555" w:sz="5"/>
              <w:left w:val="single" w:color="555555" w:sz="5"/>
              <w:bottom w:val="single" w:color="555555" w:sz="5"/>
              <w:right w:val="single" w:color="555555" w:sz="5"/>
            </w:tcBorders>
            <w:vAlign w:val="top"/>
          </w:tcPr>
          <w:p>
            <w:pPr>
              <w:spacing w:after="0"/>
            </w:pPr>
            <w:r>
              <w:rPr>
                <w:rFonts w:ascii="Times New Roman" w:hAnsi="Times New Roman"/>
                <w:sz w:val="20"/>
              </w:rPr>
              <w:t>Team member 3</w:t>
            </w:r>
          </w:p>
        </w:tc>
        <w:tc>
          <w:tcPr>
            <w:tcW w:type="dxa" w:w="5669"/>
            <w:tcBorders>
              <w:top w:val="single" w:color="555555" w:sz="5"/>
              <w:left w:val="single" w:color="555555" w:sz="5"/>
              <w:bottom w:val="single" w:color="555555" w:sz="5"/>
              <w:right w:val="single" w:color="555555" w:sz="5"/>
            </w:tcBorders>
            <w:vAlign w:val="top"/>
          </w:tcPr>
          <w:p>
            <w:pPr>
              <w:spacing w:after="0"/>
            </w:pPr>
            <w:r>
              <w:rPr>
                <w:rFonts w:ascii="Times New Roman" w:hAnsi="Times New Roman"/>
                <w:sz w:val="20"/>
              </w:rPr>
              <w:t>Ankit  |  240212134</w:t>
              <w:br/>
              <w:t>240212134@geu.ac.in</w:t>
            </w:r>
          </w:p>
          <w:p>
            <w:pPr>
              <w:spacing w:before="60" w:after="0"/>
            </w:pPr>
            <w:r>
              <w:drawing>
                <wp:inline xmlns:a="http://schemas.openxmlformats.org/drawingml/2006/main" xmlns:pic="http://schemas.openxmlformats.org/drawingml/2006/picture">
                  <wp:extent cx="526997" cy="666000"/>
                  <wp:docPr id="4" name="Picture 4"/>
                  <wp:cNvGraphicFramePr>
                    <a:graphicFrameLocks noChangeAspect="1"/>
                  </wp:cNvGraphicFramePr>
                  <a:graphic>
                    <a:graphicData uri="http://schemas.openxmlformats.org/drawingml/2006/picture">
                      <pic:pic>
                        <pic:nvPicPr>
                          <pic:cNvPr id="0" name="ankit.jpg"/>
                          <pic:cNvPicPr/>
                        </pic:nvPicPr>
                        <pic:blipFill>
                          <a:blip r:embed="rId14"/>
                          <a:stretch>
                            <a:fillRect/>
                          </a:stretch>
                        </pic:blipFill>
                        <pic:spPr>
                          <a:xfrm>
                            <a:off x="0" y="0"/>
                            <a:ext cx="526997" cy="666000"/>
                          </a:xfrm>
                          <a:prstGeom prst="rect"/>
                        </pic:spPr>
                      </pic:pic>
                    </a:graphicData>
                  </a:graphic>
                </wp:inline>
              </w:drawing>
            </w:r>
          </w:p>
        </w:tc>
      </w:tr>
      <w:tr>
        <w:trPr>
          <w:trHeight w:val="1729" w:hRule="atLeast"/>
        </w:trPr>
        <w:tc>
          <w:tcPr>
            <w:tcW w:type="dxa" w:w="4252"/>
            <w:tcBorders>
              <w:top w:val="single" w:color="555555" w:sz="5"/>
              <w:left w:val="single" w:color="555555" w:sz="5"/>
              <w:bottom w:val="single" w:color="555555" w:sz="5"/>
              <w:right w:val="single" w:color="555555" w:sz="5"/>
            </w:tcBorders>
            <w:vAlign w:val="top"/>
          </w:tcPr>
          <w:p>
            <w:pPr>
              <w:spacing w:after="0"/>
            </w:pPr>
            <w:r>
              <w:rPr>
                <w:rFonts w:ascii="Times New Roman" w:hAnsi="Times New Roman"/>
                <w:sz w:val="20"/>
              </w:rPr>
              <w:t>Team member 4</w:t>
            </w:r>
          </w:p>
        </w:tc>
        <w:tc>
          <w:tcPr>
            <w:tcW w:type="dxa" w:w="5669"/>
            <w:tcBorders>
              <w:top w:val="single" w:color="555555" w:sz="5"/>
              <w:left w:val="single" w:color="555555" w:sz="5"/>
              <w:bottom w:val="single" w:color="555555" w:sz="5"/>
              <w:right w:val="single" w:color="555555" w:sz="5"/>
            </w:tcBorders>
            <w:vAlign w:val="top"/>
          </w:tcPr>
          <w:p>
            <w:pPr>
              <w:spacing w:after="0"/>
            </w:pPr>
            <w:r>
              <w:rPr>
                <w:rFonts w:ascii="Times New Roman" w:hAnsi="Times New Roman"/>
                <w:sz w:val="20"/>
              </w:rPr>
              <w:t>Mohd Shoaib  |  240211124</w:t>
              <w:br/>
              <w:t>240211124@geu.ac.in</w:t>
            </w:r>
          </w:p>
          <w:p>
            <w:pPr>
              <w:spacing w:before="60" w:after="0"/>
            </w:pPr>
            <w:r>
              <w:drawing>
                <wp:inline xmlns:a="http://schemas.openxmlformats.org/drawingml/2006/main" xmlns:pic="http://schemas.openxmlformats.org/drawingml/2006/picture">
                  <wp:extent cx="534470" cy="666000"/>
                  <wp:docPr id="5" name="Picture 5"/>
                  <wp:cNvGraphicFramePr>
                    <a:graphicFrameLocks noChangeAspect="1"/>
                  </wp:cNvGraphicFramePr>
                  <a:graphic>
                    <a:graphicData uri="http://schemas.openxmlformats.org/drawingml/2006/picture">
                      <pic:pic>
                        <pic:nvPicPr>
                          <pic:cNvPr id="0" name="shoaib.jpg"/>
                          <pic:cNvPicPr/>
                        </pic:nvPicPr>
                        <pic:blipFill>
                          <a:blip r:embed="rId15"/>
                          <a:stretch>
                            <a:fillRect/>
                          </a:stretch>
                        </pic:blipFill>
                        <pic:spPr>
                          <a:xfrm>
                            <a:off x="0" y="0"/>
                            <a:ext cx="534470" cy="666000"/>
                          </a:xfrm>
                          <a:prstGeom prst="rect"/>
                        </pic:spPr>
                      </pic:pic>
                    </a:graphicData>
                  </a:graphic>
                </wp:inline>
              </w:drawing>
            </w:r>
          </w:p>
        </w:tc>
      </w:tr>
    </w:tbl>
    <w:p>
      <w:pPr>
        <w:spacing w:after="0"/>
      </w:pPr>
    </w:p>
    <w:p>
      <w:r>
        <w:br w:type="page"/>
      </w:r>
    </w:p>
    <w:tbl>
      <w:tblPr>
        <w:tblW w:type="auto" w:w="0"/>
        <w:tblLayout w:type="fixed"/>
        <w:tblLook w:firstColumn="1" w:firstRow="1" w:lastColumn="0" w:lastRow="0" w:noHBand="0" w:noVBand="1" w:val="04A0"/>
      </w:tblPr>
      <w:tblGrid>
        <w:gridCol w:w="9921"/>
      </w:tblGrid>
      <w:tr>
        <w:tc>
          <w:tcPr>
            <w:tcW w:type="dxa" w:w="9922"/>
            <w:shd w:fill="006694"/>
          </w:tcPr>
          <w:p>
            <w:pPr>
              <w:spacing w:after="0" w:before="0"/>
            </w:pPr>
            <w:r/>
            <w:r>
              <w:rPr>
                <w:rFonts w:ascii="Times New Roman" w:hAnsi="Times New Roman"/>
                <w:b/>
                <w:color w:val="FFC926"/>
                <w:sz w:val="33"/>
              </w:rPr>
              <w:t>PHASE-III PROJECT PROGRESS DESCRIPTION (35 pts)</w:t>
            </w:r>
          </w:p>
        </w:tc>
      </w:tr>
    </w:tbl>
    <w:p>
      <w:pPr>
        <w:spacing w:after="0"/>
      </w:pPr>
    </w:p>
    <w:p>
      <w:pPr>
        <w:spacing w:after="300" w:before="0"/>
      </w:pPr>
    </w:p>
    <w:p>
      <w:pPr>
        <w:keepNext/>
        <w:spacing w:before="80" w:after="160"/>
      </w:pPr>
      <w:r>
        <w:rPr>
          <w:rFonts w:ascii="Times New Roman" w:hAnsi="Times New Roman"/>
          <w:b w:val="0"/>
          <w:color w:val="2B5B91"/>
          <w:sz w:val="36"/>
        </w:rPr>
        <w:t>Project Abstract (2 pts)</w:t>
      </w:r>
    </w:p>
    <w:tbl>
      <w:tblPr>
        <w:tblW w:type="auto" w:w="0"/>
        <w:tblLayout w:type="fixed"/>
        <w:tblLook w:firstColumn="1" w:firstRow="1" w:lastColumn="0" w:lastRow="0" w:noHBand="0" w:noVBand="1" w:val="04A0"/>
      </w:tblPr>
      <w:tblGrid>
        <w:gridCol w:w="9921"/>
      </w:tblGrid>
      <w:tr>
        <w:trPr>
          <w:trHeight w:val="2041" w:hRule="atLeast"/>
        </w:trPr>
        <w:tc>
          <w:tcPr>
            <w:tcW w:type="dxa" w:w="9922"/>
            <w:vAlign w:val="top"/>
            <w:tcBorders>
              <w:top w:val="single" w:color="555555" w:sz="5"/>
              <w:left w:val="single" w:color="555555" w:sz="5"/>
              <w:bottom w:val="single" w:color="555555" w:sz="5"/>
              <w:right w:val="single" w:color="555555" w:sz="5"/>
            </w:tcBorders>
          </w:tcPr>
          <w:p>
            <w:pPr>
              <w:spacing w:before="100" w:after="80"/>
            </w:pPr>
            <w:r/>
            <w:r>
              <w:rPr>
                <w:rFonts w:ascii="Times New Roman" w:hAnsi="Times New Roman"/>
                <w:sz w:val="21"/>
              </w:rPr>
              <w:t>KernelGuard Phase III combines Linux Audit events with sampled user, session, process and USB information. Five configured rules create alerts with event evidence and a saved policy snapshot. An authenticated dashboard supports alert review and USB approval decisions while retaining earlier actions. The system uses relational transactions so events, inventory changes and their related records remain consistent. It runs as a SQLite demonstration and in separate MariaDB and Oracle MySQL 8.4 Kali deployments.</w:t>
            </w:r>
          </w:p>
        </w:tc>
      </w:tr>
    </w:tbl>
    <w:p>
      <w:pPr>
        <w:spacing w:after="0"/>
      </w:pPr>
    </w:p>
    <w:p>
      <w:pPr>
        <w:spacing w:after="240" w:before="0"/>
      </w:pPr>
    </w:p>
    <w:p>
      <w:pPr>
        <w:keepNext/>
        <w:spacing w:before="80" w:after="160"/>
      </w:pPr>
      <w:r>
        <w:rPr>
          <w:rFonts w:ascii="Times New Roman" w:hAnsi="Times New Roman"/>
          <w:b w:val="0"/>
          <w:color w:val="2B5B91"/>
          <w:sz w:val="36"/>
        </w:rPr>
        <w:t>Updated Project Approach and Architecture (2 pts)</w:t>
      </w:r>
    </w:p>
    <w:tbl>
      <w:tblPr>
        <w:tblW w:type="auto" w:w="0"/>
        <w:tblLayout w:type="fixed"/>
        <w:tblLook w:firstColumn="1" w:firstRow="1" w:lastColumn="0" w:lastRow="0" w:noHBand="0" w:noVBand="1" w:val="04A0"/>
      </w:tblPr>
      <w:tblGrid>
        <w:gridCol w:w="9921"/>
      </w:tblGrid>
      <w:tr>
        <w:trPr>
          <w:trHeight w:val="2693" w:hRule="atLeast"/>
        </w:trPr>
        <w:tc>
          <w:tcPr>
            <w:tcW w:type="dxa" w:w="9922"/>
            <w:vAlign w:val="top"/>
            <w:tcBorders>
              <w:top w:val="single" w:color="555555" w:sz="5"/>
              <w:left w:val="single" w:color="555555" w:sz="5"/>
              <w:bottom w:val="single" w:color="555555" w:sz="5"/>
              <w:right w:val="single" w:color="555555" w:sz="5"/>
            </w:tcBorders>
          </w:tcPr>
          <w:p>
            <w:pPr>
              <w:spacing w:before="100" w:after="80"/>
            </w:pPr>
            <w:r/>
            <w:r>
              <w:rPr>
                <w:rFonts w:ascii="Times New Roman" w:hAnsi="Times New Roman"/>
                <w:sz w:val="21"/>
              </w:rPr>
              <w:t>The audit collector groups syscall and authentication records; inventory polling reads account, process and USB information from Linux facilities. Process identity includes host, boot ID, PID and start time to avoid confusing reused PIDs. Incomplete scans retain warnings instead of treating unseen processes as exited. A writer lock coordinates transactions for events, alerts, checkpoints and inventory transitions. The relational schema links alerts to supporting events, policy settings and review history. Flask sessions, CSRF checks and stale-decision checks protect administrator actions. The five rules remain deterministic and explainable rather than using a trained model.</w:t>
            </w:r>
          </w:p>
        </w:tc>
      </w:tr>
    </w:tbl>
    <w:p>
      <w:pPr>
        <w:spacing w:after="0"/>
      </w:pPr>
    </w:p>
    <w:p>
      <w:r>
        <w:br w:type="page"/>
      </w:r>
    </w:p>
    <w:p>
      <w:pPr>
        <w:keepNext/>
        <w:spacing w:before="80" w:after="160"/>
      </w:pPr>
      <w:r>
        <w:rPr>
          <w:rFonts w:ascii="Times New Roman" w:hAnsi="Times New Roman"/>
          <w:b w:val="0"/>
          <w:color w:val="2B5B91"/>
          <w:sz w:val="36"/>
        </w:rPr>
        <w:t>Tasks Completed (7 pts)</w:t>
      </w:r>
    </w:p>
    <w:tbl>
      <w:tblPr>
        <w:tblW w:type="auto" w:w="0"/>
        <w:tblLayout w:type="fixed"/>
        <w:tblLook w:firstColumn="1" w:firstRow="1" w:lastColumn="0" w:lastRow="0" w:noHBand="0" w:noVBand="1" w:val="04A0"/>
      </w:tblPr>
      <w:tblGrid>
        <w:gridCol w:w="6236"/>
        <w:gridCol w:w="3685"/>
      </w:tblGrid>
      <w:tr>
        <w:tc>
          <w:tcPr>
            <w:tcW w:type="dxa" w:w="4961"/>
            <w:tcBorders>
              <w:top w:val="single" w:color="555555" w:sz="5"/>
              <w:left w:val="single" w:color="555555" w:sz="5"/>
              <w:bottom w:val="single" w:color="555555" w:sz="5"/>
              <w:right w:val="single" w:color="555555" w:sz="5"/>
            </w:tcBorders>
            <w:shd w:fill="EDF3FA"/>
          </w:tcPr>
          <w:p>
            <w:pPr>
              <w:spacing w:after="40"/>
            </w:pPr>
            <w:r>
              <w:rPr>
                <w:rFonts w:ascii="Times New Roman" w:hAnsi="Times New Roman"/>
                <w:b/>
                <w:sz w:val="21"/>
              </w:rPr>
              <w:t>Task Completed</w:t>
            </w:r>
          </w:p>
        </w:tc>
        <w:tc>
          <w:tcPr>
            <w:tcW w:type="dxa" w:w="4961"/>
            <w:tcBorders>
              <w:top w:val="single" w:color="555555" w:sz="5"/>
              <w:left w:val="single" w:color="555555" w:sz="5"/>
              <w:bottom w:val="single" w:color="555555" w:sz="5"/>
              <w:right w:val="single" w:color="555555" w:sz="5"/>
            </w:tcBorders>
            <w:shd w:fill="EDF3FA"/>
          </w:tcPr>
          <w:p>
            <w:pPr>
              <w:spacing w:after="40"/>
            </w:pPr>
            <w:r>
              <w:rPr>
                <w:rFonts w:ascii="Times New Roman" w:hAnsi="Times New Roman"/>
                <w:b/>
                <w:sz w:val="21"/>
              </w:rPr>
              <w:t>Team Member</w:t>
            </w:r>
          </w:p>
        </w:tc>
      </w:tr>
      <w:tr>
        <w:trPr>
          <w:trHeight w:val="454" w:hRule="atLeast"/>
        </w:trPr>
        <w:tc>
          <w:tcPr>
            <w:tcW w:type="dxa" w:w="6236"/>
            <w:tcBorders>
              <w:top w:val="single" w:color="555555" w:sz="5"/>
              <w:left w:val="single" w:color="555555" w:sz="5"/>
              <w:bottom w:val="single" w:color="555555" w:sz="5"/>
              <w:right w:val="single" w:color="555555" w:sz="5"/>
            </w:tcBorders>
            <w:vAlign w:val="top"/>
          </w:tcPr>
          <w:p>
            <w:pPr>
              <w:spacing w:after="20"/>
            </w:pPr>
            <w:r>
              <w:rPr>
                <w:rFonts w:ascii="Times New Roman" w:hAnsi="Times New Roman"/>
                <w:sz w:val="20"/>
              </w:rPr>
              <w:t>Audit collection and host-data integration</w:t>
            </w:r>
          </w:p>
        </w:tc>
        <w:tc>
          <w:tcPr>
            <w:tcW w:type="dxa" w:w="3685"/>
            <w:tcBorders>
              <w:top w:val="single" w:color="555555" w:sz="5"/>
              <w:left w:val="single" w:color="555555" w:sz="5"/>
              <w:bottom w:val="single" w:color="555555" w:sz="5"/>
              <w:right w:val="single" w:color="555555" w:sz="5"/>
            </w:tcBorders>
            <w:vAlign w:val="top"/>
          </w:tcPr>
          <w:p>
            <w:pPr>
              <w:spacing w:after="20"/>
            </w:pPr>
            <w:r>
              <w:rPr>
                <w:rFonts w:ascii="Times New Roman" w:hAnsi="Times New Roman"/>
                <w:sz w:val="20"/>
              </w:rPr>
              <w:t>Arshpreet Singh</w:t>
            </w:r>
          </w:p>
        </w:tc>
      </w:tr>
      <w:tr>
        <w:trPr>
          <w:trHeight w:val="454" w:hRule="atLeast"/>
        </w:trPr>
        <w:tc>
          <w:tcPr>
            <w:tcW w:type="dxa" w:w="6236"/>
            <w:tcBorders>
              <w:top w:val="single" w:color="555555" w:sz="5"/>
              <w:left w:val="single" w:color="555555" w:sz="5"/>
              <w:bottom w:val="single" w:color="555555" w:sz="5"/>
              <w:right w:val="single" w:color="555555" w:sz="5"/>
            </w:tcBorders>
            <w:vAlign w:val="top"/>
          </w:tcPr>
          <w:p>
            <w:pPr>
              <w:spacing w:after="20"/>
            </w:pPr>
            <w:r>
              <w:rPr>
                <w:rFonts w:ascii="Times New Roman" w:hAnsi="Times New Roman"/>
                <w:sz w:val="20"/>
              </w:rPr>
              <w:t>Persistence, schema and transactional joins</w:t>
            </w:r>
          </w:p>
        </w:tc>
        <w:tc>
          <w:tcPr>
            <w:tcW w:type="dxa" w:w="3685"/>
            <w:tcBorders>
              <w:top w:val="single" w:color="555555" w:sz="5"/>
              <w:left w:val="single" w:color="555555" w:sz="5"/>
              <w:bottom w:val="single" w:color="555555" w:sz="5"/>
              <w:right w:val="single" w:color="555555" w:sz="5"/>
            </w:tcBorders>
            <w:vAlign w:val="top"/>
          </w:tcPr>
          <w:p>
            <w:pPr>
              <w:spacing w:after="20"/>
            </w:pPr>
            <w:r>
              <w:rPr>
                <w:rFonts w:ascii="Times New Roman" w:hAnsi="Times New Roman"/>
                <w:sz w:val="20"/>
              </w:rPr>
              <w:t>Mohd Ahmed Khan</w:t>
            </w:r>
          </w:p>
        </w:tc>
      </w:tr>
      <w:tr>
        <w:trPr>
          <w:trHeight w:val="454" w:hRule="atLeast"/>
        </w:trPr>
        <w:tc>
          <w:tcPr>
            <w:tcW w:type="dxa" w:w="6236"/>
            <w:tcBorders>
              <w:top w:val="single" w:color="555555" w:sz="5"/>
              <w:left w:val="single" w:color="555555" w:sz="5"/>
              <w:bottom w:val="single" w:color="555555" w:sz="5"/>
              <w:right w:val="single" w:color="555555" w:sz="5"/>
            </w:tcBorders>
            <w:vAlign w:val="top"/>
          </w:tcPr>
          <w:p>
            <w:pPr>
              <w:spacing w:after="20"/>
            </w:pPr>
            <w:r>
              <w:rPr>
                <w:rFonts w:ascii="Times New Roman" w:hAnsi="Times New Roman"/>
                <w:sz w:val="20"/>
              </w:rPr>
              <w:t>Five policies and evaluation scenarios</w:t>
            </w:r>
          </w:p>
        </w:tc>
        <w:tc>
          <w:tcPr>
            <w:tcW w:type="dxa" w:w="3685"/>
            <w:tcBorders>
              <w:top w:val="single" w:color="555555" w:sz="5"/>
              <w:left w:val="single" w:color="555555" w:sz="5"/>
              <w:bottom w:val="single" w:color="555555" w:sz="5"/>
              <w:right w:val="single" w:color="555555" w:sz="5"/>
            </w:tcBorders>
            <w:vAlign w:val="top"/>
          </w:tcPr>
          <w:p>
            <w:pPr>
              <w:spacing w:after="20"/>
            </w:pPr>
            <w:r>
              <w:rPr>
                <w:rFonts w:ascii="Times New Roman" w:hAnsi="Times New Roman"/>
                <w:sz w:val="20"/>
              </w:rPr>
              <w:t>Ankit</w:t>
            </w:r>
          </w:p>
        </w:tc>
      </w:tr>
      <w:tr>
        <w:trPr>
          <w:trHeight w:val="454" w:hRule="atLeast"/>
        </w:trPr>
        <w:tc>
          <w:tcPr>
            <w:tcW w:type="dxa" w:w="6236"/>
            <w:tcBorders>
              <w:top w:val="single" w:color="555555" w:sz="5"/>
              <w:left w:val="single" w:color="555555" w:sz="5"/>
              <w:bottom w:val="single" w:color="555555" w:sz="5"/>
              <w:right w:val="single" w:color="555555" w:sz="5"/>
            </w:tcBorders>
            <w:vAlign w:val="top"/>
          </w:tcPr>
          <w:p>
            <w:pPr>
              <w:spacing w:after="20"/>
            </w:pPr>
            <w:r>
              <w:rPr>
                <w:rFonts w:ascii="Times New Roman" w:hAnsi="Times New Roman"/>
                <w:sz w:val="20"/>
              </w:rPr>
              <w:t>Dashboard, authentication and review workflow</w:t>
            </w:r>
          </w:p>
        </w:tc>
        <w:tc>
          <w:tcPr>
            <w:tcW w:type="dxa" w:w="3685"/>
            <w:tcBorders>
              <w:top w:val="single" w:color="555555" w:sz="5"/>
              <w:left w:val="single" w:color="555555" w:sz="5"/>
              <w:bottom w:val="single" w:color="555555" w:sz="5"/>
              <w:right w:val="single" w:color="555555" w:sz="5"/>
            </w:tcBorders>
            <w:vAlign w:val="top"/>
          </w:tcPr>
          <w:p>
            <w:pPr>
              <w:spacing w:after="20"/>
            </w:pPr>
            <w:r>
              <w:rPr>
                <w:rFonts w:ascii="Times New Roman" w:hAnsi="Times New Roman"/>
                <w:sz w:val="20"/>
              </w:rPr>
              <w:t>Mohd Shoaib</w:t>
            </w:r>
          </w:p>
        </w:tc>
      </w:tr>
    </w:tbl>
    <w:p>
      <w:pPr>
        <w:spacing w:after="0"/>
      </w:pPr>
    </w:p>
    <w:p>
      <w:pPr>
        <w:spacing w:after="280" w:before="0"/>
      </w:pPr>
    </w:p>
    <w:p>
      <w:pPr>
        <w:keepNext/>
        <w:spacing w:before="80" w:after="160"/>
      </w:pPr>
      <w:r>
        <w:rPr>
          <w:rFonts w:ascii="Times New Roman" w:hAnsi="Times New Roman"/>
          <w:b w:val="0"/>
          <w:color w:val="2B5B91"/>
          <w:sz w:val="36"/>
        </w:rPr>
        <w:t>Challenges/Roadblocks (7 pts)</w:t>
      </w:r>
    </w:p>
    <w:tbl>
      <w:tblPr>
        <w:tblW w:type="auto" w:w="0"/>
        <w:tblLayout w:type="fixed"/>
        <w:tblLook w:firstColumn="1" w:firstRow="1" w:lastColumn="0" w:lastRow="0" w:noHBand="0" w:noVBand="1" w:val="04A0"/>
      </w:tblPr>
      <w:tblGrid>
        <w:gridCol w:w="9921"/>
      </w:tblGrid>
      <w:tr>
        <w:trPr>
          <w:trHeight w:val="2296" w:hRule="atLeast"/>
        </w:trPr>
        <w:tc>
          <w:tcPr>
            <w:tcW w:type="dxa" w:w="9922"/>
            <w:vAlign w:val="top"/>
            <w:tcBorders>
              <w:top w:val="single" w:color="555555" w:sz="5"/>
              <w:left w:val="single" w:color="555555" w:sz="5"/>
              <w:bottom w:val="single" w:color="555555" w:sz="5"/>
              <w:right w:val="single" w:color="555555" w:sz="5"/>
            </w:tcBorders>
          </w:tcPr>
          <w:p>
            <w:pPr>
              <w:spacing w:before="100" w:after="80"/>
            </w:pPr>
            <w:r/>
            <w:r>
              <w:rPr>
                <w:rFonts w:ascii="Times New Roman" w:hAnsi="Times New Roman"/>
                <w:sz w:val="21"/>
              </w:rPr>
              <w:t>Boot changes and PID reuse require stronger identity keys than PID alone. Audit restart replay must not create duplicate events. Process scans can be partial because of permissions or exit races, so the application records completeness and warnings. A new USB device can match a rule without being malicious, and an authorized backup can meet the bulk-file threshold. The alert therefore carries evidence for human review. Physical USB remove/reconnect and live enumeration-failure checks remain open on the available lab hardware.</w:t>
            </w:r>
          </w:p>
        </w:tc>
      </w:tr>
    </w:tbl>
    <w:p>
      <w:pPr>
        <w:spacing w:after="0"/>
      </w:pPr>
    </w:p>
    <w:p>
      <w:r>
        <w:br w:type="page"/>
      </w:r>
    </w:p>
    <w:p>
      <w:pPr>
        <w:keepNext/>
        <w:spacing w:before="80" w:after="160"/>
      </w:pPr>
      <w:r>
        <w:rPr>
          <w:rFonts w:ascii="Times New Roman" w:hAnsi="Times New Roman"/>
          <w:b w:val="0"/>
          <w:color w:val="2B5B91"/>
          <w:sz w:val="36"/>
        </w:rPr>
        <w:t>Project Outcome/Deliverables (2 pts)</w:t>
      </w:r>
    </w:p>
    <w:tbl>
      <w:tblPr>
        <w:tblW w:type="auto" w:w="0"/>
        <w:tblLayout w:type="fixed"/>
        <w:tblLook w:firstColumn="1" w:firstRow="1" w:lastColumn="0" w:lastRow="0" w:noHBand="0" w:noVBand="1" w:val="04A0"/>
      </w:tblPr>
      <w:tblGrid>
        <w:gridCol w:w="9921"/>
      </w:tblGrid>
      <w:tr>
        <w:trPr>
          <w:trHeight w:val="1899" w:hRule="atLeast"/>
        </w:trPr>
        <w:tc>
          <w:tcPr>
            <w:tcW w:type="dxa" w:w="9922"/>
            <w:vAlign w:val="top"/>
            <w:tcBorders>
              <w:top w:val="single" w:color="555555" w:sz="5"/>
              <w:left w:val="single" w:color="555555" w:sz="5"/>
              <w:bottom w:val="single" w:color="555555" w:sz="5"/>
              <w:right w:val="single" w:color="555555" w:sz="5"/>
            </w:tcBorders>
          </w:tcPr>
          <w:p>
            <w:pPr>
              <w:spacing w:before="100" w:after="80"/>
            </w:pPr>
            <w:r/>
            <w:r>
              <w:rPr>
                <w:rFonts w:ascii="Times New Roman" w:hAnsi="Times New Roman"/>
                <w:sz w:val="21"/>
              </w:rPr>
              <w:t>The deliverable is a working local host-monitoring prototype with five policy families, user/process/USB inventory, linked evidence and administrator decision history. A separate Oracle MySQL 8.4.11 Kali deployment runs alongside the existing MariaDB deployment. Saved evaluation data contains 11 of 11 expected synthetic policy outcomes. The software flags configured policy matches; it does not stop activity or prove malicious intent.</w:t>
            </w:r>
          </w:p>
        </w:tc>
      </w:tr>
    </w:tbl>
    <w:p>
      <w:pPr>
        <w:spacing w:after="0"/>
      </w:pPr>
    </w:p>
    <w:p>
      <w:pPr>
        <w:spacing w:after="400" w:before="0"/>
      </w:pPr>
    </w:p>
    <w:p>
      <w:pPr>
        <w:keepNext/>
        <w:spacing w:before="80" w:after="160"/>
      </w:pPr>
      <w:r>
        <w:rPr>
          <w:rFonts w:ascii="Times New Roman" w:hAnsi="Times New Roman"/>
          <w:b w:val="0"/>
          <w:color w:val="2B5B91"/>
          <w:sz w:val="36"/>
        </w:rPr>
        <w:t>Progress Overview (2 pts)</w:t>
      </w:r>
    </w:p>
    <w:tbl>
      <w:tblPr>
        <w:tblW w:type="auto" w:w="0"/>
        <w:tblLayout w:type="fixed"/>
        <w:tblLook w:firstColumn="1" w:firstRow="1" w:lastColumn="0" w:lastRow="0" w:noHBand="0" w:noVBand="1" w:val="04A0"/>
      </w:tblPr>
      <w:tblGrid>
        <w:gridCol w:w="9921"/>
      </w:tblGrid>
      <w:tr>
        <w:trPr>
          <w:trHeight w:val="2523" w:hRule="atLeast"/>
        </w:trPr>
        <w:tc>
          <w:tcPr>
            <w:tcW w:type="dxa" w:w="9922"/>
            <w:vAlign w:val="top"/>
            <w:tcBorders>
              <w:top w:val="single" w:color="555555" w:sz="5"/>
              <w:left w:val="single" w:color="555555" w:sz="5"/>
              <w:bottom w:val="single" w:color="555555" w:sz="5"/>
              <w:right w:val="single" w:color="555555" w:sz="5"/>
            </w:tcBorders>
          </w:tcPr>
          <w:p>
            <w:pPr>
              <w:spacing w:before="100" w:after="80"/>
            </w:pPr>
            <w:r/>
            <w:r>
              <w:rPr>
                <w:rFonts w:ascii="Times New Roman" w:hAnsi="Times New Roman"/>
                <w:sz w:val="21"/>
              </w:rPr>
              <w:t>Core implementation, demonstration data, automated regression tests and documented Kali audit/inventory checks are complete. A saved SQLite workload processed 500 synthetic events with 100 alerts in 0.4806 seconds; it excludes collection and web rendering. The available Kali host has no spare removable device for physical removal/reconnection, enrollment and revocation checks. Live USB-enumeration failure handling also remains to be exercised. No field precision or recall is claimed.</w:t>
            </w:r>
          </w:p>
        </w:tc>
      </w:tr>
    </w:tbl>
    <w:p>
      <w:pPr>
        <w:spacing w:after="0"/>
      </w:pPr>
    </w:p>
    <w:p>
      <w:r>
        <w:br w:type="page"/>
      </w:r>
    </w:p>
    <w:p>
      <w:pPr>
        <w:keepNext/>
        <w:spacing w:before="80" w:after="160"/>
      </w:pPr>
      <w:r>
        <w:rPr>
          <w:rFonts w:ascii="Times New Roman" w:hAnsi="Times New Roman"/>
          <w:b w:val="0"/>
          <w:color w:val="2B5B91"/>
          <w:sz w:val="36"/>
        </w:rPr>
        <w:t>Codebase Information (2 pts)</w:t>
      </w:r>
    </w:p>
    <w:tbl>
      <w:tblPr>
        <w:tblW w:type="auto" w:w="0"/>
        <w:tblLayout w:type="fixed"/>
        <w:tblLook w:firstColumn="1" w:firstRow="1" w:lastColumn="0" w:lastRow="0" w:noHBand="0" w:noVBand="1" w:val="04A0"/>
      </w:tblPr>
      <w:tblGrid>
        <w:gridCol w:w="9921"/>
      </w:tblGrid>
      <w:tr>
        <w:trPr>
          <w:trHeight w:val="2098" w:hRule="atLeast"/>
        </w:trPr>
        <w:tc>
          <w:tcPr>
            <w:tcW w:type="dxa" w:w="9922"/>
            <w:vAlign w:val="top"/>
            <w:tcBorders>
              <w:top w:val="single" w:color="555555" w:sz="5"/>
              <w:left w:val="single" w:color="555555" w:sz="5"/>
              <w:bottom w:val="single" w:color="555555" w:sz="5"/>
              <w:right w:val="single" w:color="555555" w:sz="5"/>
            </w:tcBorders>
          </w:tcPr>
          <w:p>
            <w:pPr>
              <w:spacing w:before="100" w:after="80"/>
            </w:pPr>
            <w:r/>
            <w:r>
              <w:rPr>
                <w:rFonts w:ascii="Times New Roman" w:hAnsi="Times New Roman"/>
                <w:sz w:val="20"/>
              </w:rPr>
              <w:t>Local source: C:\KernalGuard. Branch: main. The visible repository has a project snapshot and MySQL deployment documentation commits, plus current working-tree changes. Main modules: kernelguard/core.py, activity_rules.py, parser.py, inventory/, auth.py, reviews.py and web.py. Evidence documents: docs/ARCHITECTURE.md, docs/EVALUATION.md, docs/ACCEPTANCE.md and docs/MYSQL84_DOCKER.md. No public remote is configured in this copy.</w:t>
            </w:r>
          </w:p>
        </w:tc>
      </w:tr>
    </w:tbl>
    <w:p>
      <w:pPr>
        <w:spacing w:after="0"/>
      </w:pPr>
    </w:p>
    <w:p>
      <w:pPr>
        <w:spacing w:after="260" w:before="0"/>
      </w:pPr>
    </w:p>
    <w:p>
      <w:pPr>
        <w:keepNext/>
        <w:spacing w:before="80" w:after="160"/>
      </w:pPr>
      <w:r>
        <w:rPr>
          <w:rFonts w:ascii="Times New Roman" w:hAnsi="Times New Roman"/>
          <w:b w:val="0"/>
          <w:color w:val="2B5B91"/>
          <w:sz w:val="36"/>
        </w:rPr>
        <w:t>Testing and Validation Status (2 pts)</w:t>
      </w:r>
    </w:p>
    <w:tbl>
      <w:tblPr>
        <w:tblW w:type="auto" w:w="0"/>
        <w:tblLayout w:type="fixed"/>
        <w:tblLook w:firstColumn="1" w:firstRow="1" w:lastColumn="0" w:lastRow="0" w:noHBand="0" w:noVBand="1" w:val="04A0"/>
      </w:tblPr>
      <w:tblGrid>
        <w:gridCol w:w="3118"/>
        <w:gridCol w:w="2551"/>
        <w:gridCol w:w="4252"/>
      </w:tblGrid>
      <w:tr>
        <w:tc>
          <w:tcPr>
            <w:tcW w:type="dxa" w:w="3307"/>
            <w:tcBorders>
              <w:top w:val="single" w:color="555555" w:sz="5"/>
              <w:left w:val="single" w:color="555555" w:sz="5"/>
              <w:bottom w:val="single" w:color="555555" w:sz="5"/>
              <w:right w:val="single" w:color="555555" w:sz="5"/>
            </w:tcBorders>
            <w:shd w:fill="EDF3FA"/>
          </w:tcPr>
          <w:p>
            <w:pPr>
              <w:spacing w:after="40"/>
            </w:pPr>
            <w:r>
              <w:rPr>
                <w:rFonts w:ascii="Times New Roman" w:hAnsi="Times New Roman"/>
                <w:b/>
                <w:sz w:val="21"/>
              </w:rPr>
              <w:t>Test Type</w:t>
            </w:r>
          </w:p>
        </w:tc>
        <w:tc>
          <w:tcPr>
            <w:tcW w:type="dxa" w:w="3307"/>
            <w:tcBorders>
              <w:top w:val="single" w:color="555555" w:sz="5"/>
              <w:left w:val="single" w:color="555555" w:sz="5"/>
              <w:bottom w:val="single" w:color="555555" w:sz="5"/>
              <w:right w:val="single" w:color="555555" w:sz="5"/>
            </w:tcBorders>
            <w:shd w:fill="EDF3FA"/>
          </w:tcPr>
          <w:p>
            <w:pPr>
              <w:spacing w:after="40"/>
            </w:pPr>
            <w:r>
              <w:rPr>
                <w:rFonts w:ascii="Times New Roman" w:hAnsi="Times New Roman"/>
                <w:b/>
                <w:sz w:val="21"/>
              </w:rPr>
              <w:t>Status</w:t>
            </w:r>
          </w:p>
        </w:tc>
        <w:tc>
          <w:tcPr>
            <w:tcW w:type="dxa" w:w="3307"/>
            <w:tcBorders>
              <w:top w:val="single" w:color="555555" w:sz="5"/>
              <w:left w:val="single" w:color="555555" w:sz="5"/>
              <w:bottom w:val="single" w:color="555555" w:sz="5"/>
              <w:right w:val="single" w:color="555555" w:sz="5"/>
            </w:tcBorders>
            <w:shd w:fill="EDF3FA"/>
          </w:tcPr>
          <w:p>
            <w:pPr>
              <w:spacing w:after="40"/>
            </w:pPr>
            <w:r>
              <w:rPr>
                <w:rFonts w:ascii="Times New Roman" w:hAnsi="Times New Roman"/>
                <w:b/>
                <w:sz w:val="21"/>
              </w:rPr>
              <w:t>Notes</w:t>
            </w:r>
          </w:p>
        </w:tc>
      </w:tr>
      <w:tr>
        <w:trPr>
          <w:trHeight w:val="425" w:hRule="atLeast"/>
        </w:trPr>
        <w:tc>
          <w:tcPr>
            <w:tcW w:type="dxa" w:w="3118"/>
            <w:tcBorders>
              <w:top w:val="single" w:color="555555" w:sz="5"/>
              <w:left w:val="single" w:color="555555" w:sz="5"/>
              <w:bottom w:val="single" w:color="555555" w:sz="5"/>
              <w:right w:val="single" w:color="555555" w:sz="5"/>
            </w:tcBorders>
            <w:vAlign w:val="top"/>
          </w:tcPr>
          <w:p>
            <w:pPr>
              <w:spacing w:after="20"/>
            </w:pPr>
            <w:r>
              <w:rPr>
                <w:rFonts w:ascii="Times New Roman" w:hAnsi="Times New Roman"/>
                <w:sz w:val="20"/>
              </w:rPr>
              <w:t>Local automated tests</w:t>
            </w:r>
          </w:p>
        </w:tc>
        <w:tc>
          <w:tcPr>
            <w:tcW w:type="dxa" w:w="2551"/>
            <w:tcBorders>
              <w:top w:val="single" w:color="555555" w:sz="5"/>
              <w:left w:val="single" w:color="555555" w:sz="5"/>
              <w:bottom w:val="single" w:color="555555" w:sz="5"/>
              <w:right w:val="single" w:color="555555" w:sz="5"/>
            </w:tcBorders>
            <w:vAlign w:val="top"/>
          </w:tcPr>
          <w:p>
            <w:pPr>
              <w:spacing w:after="20"/>
            </w:pPr>
            <w:r>
              <w:rPr>
                <w:rFonts w:ascii="Times New Roman" w:hAnsi="Times New Roman"/>
                <w:sz w:val="20"/>
              </w:rPr>
              <w:t>89 passed, 1 skipped</w:t>
            </w:r>
          </w:p>
        </w:tc>
        <w:tc>
          <w:tcPr>
            <w:tcW w:type="dxa" w:w="4252"/>
            <w:tcBorders>
              <w:top w:val="single" w:color="555555" w:sz="5"/>
              <w:left w:val="single" w:color="555555" w:sz="5"/>
              <w:bottom w:val="single" w:color="555555" w:sz="5"/>
              <w:right w:val="single" w:color="555555" w:sz="5"/>
            </w:tcBorders>
            <w:vAlign w:val="top"/>
          </w:tcPr>
          <w:p>
            <w:pPr>
              <w:spacing w:after="20"/>
            </w:pPr>
            <w:r>
              <w:rPr>
                <w:rFonts w:ascii="Times New Roman" w:hAnsi="Times New Roman"/>
                <w:sz w:val="20"/>
              </w:rPr>
              <w:t>Current Windows checkout</w:t>
            </w:r>
          </w:p>
        </w:tc>
      </w:tr>
      <w:tr>
        <w:trPr>
          <w:trHeight w:val="425" w:hRule="atLeast"/>
        </w:trPr>
        <w:tc>
          <w:tcPr>
            <w:tcW w:type="dxa" w:w="3118"/>
            <w:tcBorders>
              <w:top w:val="single" w:color="555555" w:sz="5"/>
              <w:left w:val="single" w:color="555555" w:sz="5"/>
              <w:bottom w:val="single" w:color="555555" w:sz="5"/>
              <w:right w:val="single" w:color="555555" w:sz="5"/>
            </w:tcBorders>
            <w:vAlign w:val="top"/>
          </w:tcPr>
          <w:p>
            <w:pPr>
              <w:spacing w:after="20"/>
            </w:pPr>
            <w:r>
              <w:rPr>
                <w:rFonts w:ascii="Times New Roman" w:hAnsi="Times New Roman"/>
                <w:sz w:val="20"/>
              </w:rPr>
              <w:t>Policy evaluation</w:t>
            </w:r>
          </w:p>
        </w:tc>
        <w:tc>
          <w:tcPr>
            <w:tcW w:type="dxa" w:w="2551"/>
            <w:tcBorders>
              <w:top w:val="single" w:color="555555" w:sz="5"/>
              <w:left w:val="single" w:color="555555" w:sz="5"/>
              <w:bottom w:val="single" w:color="555555" w:sz="5"/>
              <w:right w:val="single" w:color="555555" w:sz="5"/>
            </w:tcBorders>
            <w:vAlign w:val="top"/>
          </w:tcPr>
          <w:p>
            <w:pPr>
              <w:spacing w:after="20"/>
            </w:pPr>
            <w:r>
              <w:rPr>
                <w:rFonts w:ascii="Times New Roman" w:hAnsi="Times New Roman"/>
                <w:sz w:val="20"/>
              </w:rPr>
              <w:t>11/11 expected</w:t>
            </w:r>
          </w:p>
        </w:tc>
        <w:tc>
          <w:tcPr>
            <w:tcW w:type="dxa" w:w="4252"/>
            <w:tcBorders>
              <w:top w:val="single" w:color="555555" w:sz="5"/>
              <w:left w:val="single" w:color="555555" w:sz="5"/>
              <w:bottom w:val="single" w:color="555555" w:sz="5"/>
              <w:right w:val="single" w:color="555555" w:sz="5"/>
            </w:tcBorders>
            <w:vAlign w:val="top"/>
          </w:tcPr>
          <w:p>
            <w:pPr>
              <w:spacing w:after="20"/>
            </w:pPr>
            <w:r>
              <w:rPr>
                <w:rFonts w:ascii="Times New Roman" w:hAnsi="Times New Roman"/>
                <w:sz w:val="20"/>
              </w:rPr>
              <w:t>Synthetic, hand-authored cases</w:t>
            </w:r>
          </w:p>
        </w:tc>
      </w:tr>
      <w:tr>
        <w:trPr>
          <w:trHeight w:val="425" w:hRule="atLeast"/>
        </w:trPr>
        <w:tc>
          <w:tcPr>
            <w:tcW w:type="dxa" w:w="3118"/>
            <w:tcBorders>
              <w:top w:val="single" w:color="555555" w:sz="5"/>
              <w:left w:val="single" w:color="555555" w:sz="5"/>
              <w:bottom w:val="single" w:color="555555" w:sz="5"/>
              <w:right w:val="single" w:color="555555" w:sz="5"/>
            </w:tcBorders>
            <w:vAlign w:val="top"/>
          </w:tcPr>
          <w:p>
            <w:pPr>
              <w:spacing w:after="20"/>
            </w:pPr>
            <w:r>
              <w:rPr>
                <w:rFonts w:ascii="Times New Roman" w:hAnsi="Times New Roman"/>
                <w:sz w:val="20"/>
              </w:rPr>
              <w:t>Oracle MySQL 8.4</w:t>
            </w:r>
          </w:p>
        </w:tc>
        <w:tc>
          <w:tcPr>
            <w:tcW w:type="dxa" w:w="2551"/>
            <w:tcBorders>
              <w:top w:val="single" w:color="555555" w:sz="5"/>
              <w:left w:val="single" w:color="555555" w:sz="5"/>
              <w:bottom w:val="single" w:color="555555" w:sz="5"/>
              <w:right w:val="single" w:color="555555" w:sz="5"/>
            </w:tcBorders>
            <w:vAlign w:val="top"/>
          </w:tcPr>
          <w:p>
            <w:pPr>
              <w:spacing w:after="20"/>
            </w:pPr>
            <w:r>
              <w:rPr>
                <w:rFonts w:ascii="Times New Roman" w:hAnsi="Times New Roman"/>
                <w:sz w:val="20"/>
              </w:rPr>
              <w:t>Pass</w:t>
            </w:r>
          </w:p>
        </w:tc>
        <w:tc>
          <w:tcPr>
            <w:tcW w:type="dxa" w:w="4252"/>
            <w:tcBorders>
              <w:top w:val="single" w:color="555555" w:sz="5"/>
              <w:left w:val="single" w:color="555555" w:sz="5"/>
              <w:bottom w:val="single" w:color="555555" w:sz="5"/>
              <w:right w:val="single" w:color="555555" w:sz="5"/>
            </w:tcBorders>
            <w:vAlign w:val="top"/>
          </w:tcPr>
          <w:p>
            <w:pPr>
              <w:spacing w:after="20"/>
            </w:pPr>
            <w:r>
              <w:rPr>
                <w:rFonts w:ascii="Times New Roman" w:hAnsi="Times New Roman"/>
                <w:sz w:val="20"/>
              </w:rPr>
              <w:t>Recorded Kali integration run</w:t>
            </w:r>
          </w:p>
        </w:tc>
      </w:tr>
    </w:tbl>
    <w:p>
      <w:pPr>
        <w:spacing w:after="0"/>
      </w:pPr>
    </w:p>
    <w:p>
      <w:pPr>
        <w:spacing w:after="260" w:before="0"/>
      </w:pPr>
    </w:p>
    <w:p>
      <w:pPr>
        <w:keepNext/>
        <w:spacing w:before="80" w:after="160"/>
      </w:pPr>
      <w:r>
        <w:rPr>
          <w:rFonts w:ascii="Times New Roman" w:hAnsi="Times New Roman"/>
          <w:b w:val="0"/>
          <w:color w:val="2B5B91"/>
          <w:sz w:val="36"/>
        </w:rPr>
        <w:t>Deliverables Progress (2 pts)</w:t>
      </w:r>
    </w:p>
    <w:tbl>
      <w:tblPr>
        <w:tblW w:type="auto" w:w="0"/>
        <w:tblLayout w:type="fixed"/>
        <w:tblLook w:firstColumn="1" w:firstRow="1" w:lastColumn="0" w:lastRow="0" w:noHBand="0" w:noVBand="1" w:val="04A0"/>
      </w:tblPr>
      <w:tblGrid>
        <w:gridCol w:w="9921"/>
      </w:tblGrid>
      <w:tr>
        <w:trPr>
          <w:trHeight w:val="1814" w:hRule="atLeast"/>
        </w:trPr>
        <w:tc>
          <w:tcPr>
            <w:tcW w:type="dxa" w:w="9922"/>
            <w:vAlign w:val="top"/>
            <w:tcBorders>
              <w:top w:val="single" w:color="555555" w:sz="5"/>
              <w:left w:val="single" w:color="555555" w:sz="5"/>
              <w:bottom w:val="single" w:color="555555" w:sz="5"/>
              <w:right w:val="single" w:color="555555" w:sz="5"/>
            </w:tcBorders>
          </w:tcPr>
          <w:p>
            <w:pPr>
              <w:spacing w:before="100" w:after="80"/>
            </w:pPr>
            <w:r/>
            <w:r>
              <w:rPr>
                <w:rFonts w:ascii="Times New Roman" w:hAnsi="Times New Roman"/>
                <w:sz w:val="21"/>
              </w:rPr>
              <w:t>Completed: five policies, evidence-linked alerts, host and USB inventory, admin review, SQL schema, setup notes and regression tests. Recorded live checks cover audit, inventory and review on Kali. Pending hardware acceptance: physical USB removal/reconnection and live enumeration-failure behavior.</w:t>
            </w:r>
          </w:p>
        </w:tc>
      </w:tr>
    </w:tbl>
    <w:p>
      <w:pPr>
        <w:spacing w:after="0"/>
      </w:pPr>
    </w:p>
    <w:sectPr w:rsidR="00FC693F" w:rsidRPr="0006063C" w:rsidSect="00034616">
      <w:headerReference w:type="default" r:id="rId9"/>
      <w:footerReference w:type="default" r:id="rId10"/>
      <w:pgSz w:w="11906" w:h="16838"/>
      <w:pgMar w:top="879" w:right="992" w:bottom="765" w:left="992" w:header="255" w:footer="19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bottom w:val="single" w:color="FFC926" w:sz="12"/>
      </w:pBdr>
    </w:pPr>
    <w:r>
      <w:rPr>
        <w:sz w:val="20"/>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932"/>
      <w:gridCol w:w="4989"/>
    </w:tblGrid>
    <w:tr>
      <w:tc>
        <w:tcPr>
          <w:tcW w:type="dxa" w:w="4961"/>
        </w:tcPr>
        <w:p>
          <w:pPr>
            <w:jc w:val="left"/>
          </w:pPr>
          <w:r>
            <w:rPr>
              <w:rFonts w:ascii="Times New Roman" w:hAnsi="Times New Roman"/>
              <w:sz w:val="21"/>
            </w:rPr>
            <w:t>OS (TCS 502) &amp; DBMS (TCS 503)</w:t>
          </w:r>
        </w:p>
      </w:tc>
      <w:tc>
        <w:tcPr>
          <w:tcW w:type="dxa" w:w="4961"/>
        </w:tcPr>
        <w:p>
          <w:pPr>
            <w:jc w:val="right"/>
          </w:pPr>
          <w:r>
            <w:rPr>
              <w:rFonts w:ascii="Times New Roman" w:hAnsi="Times New Roman"/>
              <w:sz w:val="21"/>
            </w:rPr>
            <w:t>PHASE-III PROJECT PROGRESS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