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D6441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Feature</w:t>
      </w:r>
    </w:p>
    <w:p w14:paraId="43CD1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I. Small Molecule Drug Features (For ERα Bioactivity Prediction + ADMET Druggability Prediction)</w:t>
      </w:r>
    </w:p>
    <w:p w14:paraId="7B7BF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In this study, a multi-dimensional, full-coverage descriptor system w</w:t>
      </w:r>
      <w:bookmarkStart w:id="0" w:name="_GoBack"/>
      <w:bookmarkEnd w:id="0"/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as constructed at the small-molecule compound level, including three types of features: molecular descriptors, PubChem fingerprints, and Morgan fingerprints, which comprehensively reflect molecular structure, physicochemical properties, and topological information.</w:t>
      </w:r>
    </w:p>
    <w:p w14:paraId="5EAA4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1. Molecular Descriptors (Generated by RDKit Toolkit)</w:t>
      </w:r>
    </w:p>
    <w:p w14:paraId="29648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Calculated in batch via the RDKit cheminformatics toolkit to fully characterize drug small-molecule structure and properties from multiple dimensions:</w:t>
      </w:r>
    </w:p>
    <w:p w14:paraId="68219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Physicochemical properties: molecular weight, lipophilicity-hydrophilicity coefficient (logP), isoelectric point, aromaticity, hydrophobicity/hydrophilicity, etc.;</w:t>
      </w:r>
    </w:p>
    <w:p w14:paraId="1DF63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Topological structure features: molecular connectivity indices, topological polar surface area (TPSA), number of rings, branching indices, etc.;</w:t>
      </w:r>
    </w:p>
    <w:p w14:paraId="3BADC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Electronic properties: partial atomic charges, polarity, ionization potential, etc.;</w:t>
      </w:r>
    </w:p>
    <w:p w14:paraId="17A24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Pharmacophore features: number of hydrogen bond donors, number of hydrogen bond acceptors, number of rotatable bonds, number of aromatic rings, etc.</w:t>
      </w:r>
    </w:p>
    <w:p w14:paraId="5CB6E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This class contains 1613 dimensions and serves as the core basic features for QSAR modeling.</w:t>
      </w:r>
    </w:p>
    <w:p w14:paraId="417C8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2. PubChem Molecular Fingerprints (Generated by PaDELpy Toolkit)</w:t>
      </w:r>
    </w:p>
    <w:p w14:paraId="6575D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Characterizes molecular substructures in binary encoding to capture key fragments such as functional groups, ring structures, and side chains:</w:t>
      </w:r>
    </w:p>
    <w:p w14:paraId="47A17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Adopts the standard PubChem fingerprint system;</w:t>
      </w:r>
    </w:p>
    <w:p w14:paraId="7D33D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Represents the presence/absence of specific substructures in the form of a binary bit string;</w:t>
      </w:r>
    </w:p>
    <w:p w14:paraId="57AA3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Significantly improves the predictive performance of classification and regression models.</w:t>
      </w:r>
    </w:p>
    <w:p w14:paraId="08048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This class contains 881 dimensions.</w:t>
      </w:r>
    </w:p>
    <w:p w14:paraId="6008A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3. Morgan Fingerprint (Generated by RDKit)</w:t>
      </w:r>
    </w:p>
    <w:p w14:paraId="04D0E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A dedicated feature for drug–target interaction prediction models:</w:t>
      </w:r>
    </w:p>
    <w:p w14:paraId="7BBB6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Assigns an initial identifier to each atom and iteratively fuses information of the central atom and neighboring atoms;</w:t>
      </w:r>
    </w:p>
    <w:p w14:paraId="2A3C8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Maps to fixed-length binary features via a hash function;</w:t>
      </w:r>
    </w:p>
    <w:p w14:paraId="7990F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Efficiently captures:</w:t>
      </w:r>
    </w:p>
    <w:p w14:paraId="1A5C0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Local functional groups (hydroxyl, amino, carboxyl, etc.);</w:t>
      </w:r>
    </w:p>
    <w:p w14:paraId="30226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Extended topological structures (aromatic rings, conjugated systems, long alkyl chains, etc.).</w:t>
      </w:r>
    </w:p>
    <w:p w14:paraId="49A03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Finally, radius 2 + radius 3 fingerprints are fused to form a fixed-length feature of 1024 dimensions.</w:t>
      </w:r>
    </w:p>
    <w:p w14:paraId="53B8F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II. Protein Receptor Features (For Drug–Target Interaction Prediction)</w:t>
      </w:r>
    </w:p>
    <w:p w14:paraId="51418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Based on the ERα amino acid sequence, multi-dimensional protein features were constructed using Biopython and bioinformatics encoding methods, totaling 1244 dimensions.</w:t>
      </w:r>
    </w:p>
    <w:p w14:paraId="69113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1. Secondary Structure and Physicochemical Properties</w:t>
      </w:r>
    </w:p>
    <w:p w14:paraId="18907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Secondary structure proportion: content ratios of α-helix, β-sheet, and random coil (3 dimensions);</w:t>
      </w:r>
    </w:p>
    <w:p w14:paraId="41EE3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Physicochemical properties: molecular weight, isoelectric point, instability index, hydrophilicity, aromaticity, charge at pH 7 (6 dimensions).</w:t>
      </w:r>
    </w:p>
    <w:p w14:paraId="05105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2. Dipeptide Composition (DPC)</w:t>
      </w:r>
    </w:p>
    <w:p w14:paraId="4FF02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Counts the occurrence frequency of all pairwise combinations of 20 standard amino acids;</w:t>
      </w:r>
    </w:p>
    <w:p w14:paraId="161D4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Total: 20×20 = 400 dimensions;</w:t>
      </w:r>
    </w:p>
    <w:p w14:paraId="25200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Used to capture local sequence patterns of proteins.</w:t>
      </w:r>
    </w:p>
    <w:p w14:paraId="5A0A4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3. k-Spaced Amino Acid Pair Features (CKSAAP)</w:t>
      </w:r>
    </w:p>
    <w:p w14:paraId="7A3E9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Calculates amino acid pair frequencies at intervals of 0 and 1:</w:t>
      </w:r>
    </w:p>
    <w:p w14:paraId="72E24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k=0: adjacent amino acid pairs (400 dimensions);</w:t>
      </w:r>
    </w:p>
    <w:p w14:paraId="57266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k=1: amino acid pairs separated by one residue (400 dimensions);Total: 800 dimensions, used to capture local and long-range interactions.</w:t>
      </w:r>
    </w:p>
    <w:p w14:paraId="3BA27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4. Pseudo-Amino Acid Composition (PseAAC / PseAA)</w:t>
      </w:r>
    </w:p>
    <w:p w14:paraId="05200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Includes the basic composition ratio of 20 amino acids;</w:t>
      </w:r>
    </w:p>
    <w:p w14:paraId="48B23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Integrates physicochemical properties such as hydrophobicity, polarity, and charge;</w:t>
      </w:r>
    </w:p>
    <w:p w14:paraId="6C42F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Total: 35 dimensions, achieving fused representation of sequence information and physicochemical features.</w:t>
      </w:r>
    </w:p>
    <w:p w14:paraId="36E34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III. High-Dimensional Feature Screening Pipeline (Combined R + Python Processing)</w:t>
      </w:r>
    </w:p>
    <w:p w14:paraId="1119E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Original small-molecule feature dimension: 1613 + 881 = 2494 dimensions.After progressive screening, 20 core features were finally obtained for modeling.</w:t>
      </w:r>
    </w:p>
    <w:p w14:paraId="4229F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1. Feature Screening in R</w:t>
      </w:r>
    </w:p>
    <w:p w14:paraId="23F59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Remove feature columns with missing values to ensure data integrity;</w:t>
      </w:r>
    </w:p>
    <w:p w14:paraId="4A1D2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Near-zero variance filtering to eliminate non-discriminative features;</w:t>
      </w:r>
    </w:p>
    <w:p w14:paraId="6C552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Remove multicollinearity via Pearson correlation coefficient (remove one feature if r &gt; 0.8);</w:t>
      </w:r>
    </w:p>
    <w:p w14:paraId="0881B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Random Forest Simulated Annealing (rfSA, 1000 iterations, 5-fold repeated cross-validation) to screen 20 key molecular features (e.g., MDEC-23, WPath, etc.).</w:t>
      </w:r>
    </w:p>
    <w:p w14:paraId="47AB5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2. Secondary Processing in Python</w:t>
      </w:r>
    </w:p>
    <w:p w14:paraId="0671A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Missing value filtering (features with missing rate &gt;5% removed; others imputed by median);</w:t>
      </w:r>
    </w:p>
    <w:p w14:paraId="4B631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Variance filtering (threshold = 0.05);</w:t>
      </w:r>
    </w:p>
    <w:p w14:paraId="49CC7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Mutual information feature selection (SelectKBest);</w:t>
      </w:r>
    </w:p>
    <w:p w14:paraId="6628E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StandardScaler normalization to eliminate scale effects.</w:t>
      </w:r>
    </w:p>
    <w:p w14:paraId="2188F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IV. Summary of All Features Used in the Final Models</w:t>
      </w:r>
    </w:p>
    <w:p w14:paraId="7B572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1. Features for ERα Bioactivity &amp; ADMET Models</w:t>
      </w:r>
    </w:p>
    <w:p w14:paraId="33F14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Input: 20 core small-molecule features screened by rfSA in R</w:t>
      </w:r>
    </w:p>
    <w:p w14:paraId="7D2C2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Source: RDKit molecular descriptors (1613D) + PubChem fingerprints (881D)</w:t>
      </w:r>
    </w:p>
    <w:p w14:paraId="48BE1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Preprocessing: missing value handling + variance filtering + standardization</w:t>
      </w:r>
    </w:p>
    <w:p w14:paraId="4717E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2. Features for Drug–Target Interaction Model</w:t>
      </w:r>
    </w:p>
    <w:p w14:paraId="29A60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Drug features (1024 dimensions)</w:t>
      </w:r>
    </w:p>
    <w:p w14:paraId="662BB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RDKit Morgan fingerprint (fusion of radius 2 + 3)</w:t>
      </w:r>
    </w:p>
    <w:p w14:paraId="548B3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Protein features (1244 dimensions)</w:t>
      </w:r>
    </w:p>
    <w:p w14:paraId="393C1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Secondary structure and physicochemical properties (9D)</w:t>
      </w:r>
    </w:p>
    <w:p w14:paraId="2EFA8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Dipeptide composition DPC (400D)</w:t>
      </w:r>
    </w:p>
    <w:p w14:paraId="47556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k-spaced amino acid pairs CKSAAP (800D)</w:t>
      </w:r>
    </w:p>
    <w:p w14:paraId="6319C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Pseudo-amino acid composition PseAAC (35D</w:t>
      </w:r>
      <w:r>
        <w:rPr>
          <w:rFonts w:hint="default" w:ascii="Times New Roman" w:hAnsi="Times New Roman" w:cs="Times New Roman"/>
          <w:sz w:val="18"/>
          <w:szCs w:val="18"/>
          <w:lang w:eastAsia="zh-CN"/>
        </w:rPr>
        <w:t>）</w:t>
      </w:r>
    </w:p>
    <w:p w14:paraId="1CDE8FEE"/>
    <w:p w14:paraId="102382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297A79"/>
    <w:rsid w:val="6229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2026-04-02T03:43:00Z</dcterms:created>
  <dc:creator>WPS_1757942529</dc:creator>
  <cp:lastModifiedBy>WPS_1757942529</cp:lastModifiedBy>
  <dcterms:modified xsi:type="dcterms:W3CDTF">2026-04-02T03:55:36Z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9E2FED8C69B84E12BB9531316FC80127_11</vt:lpwstr>
  </property>
  <property fmtid="{D5CDD505-2E9C-101B-9397-08002B2CF9AE}" pid="4" name="KSOTemplateDocerSaveRecord">
    <vt:lpwstr>eyJoZGlkIjoiMzBjNzVjN2E5ZjRhMDYzNmMxNDhmY2E1Yjk0NzA5YzQiLCJ1c2VySWQiOiIxNzQzMTcwNDUxIn0=</vt:lpwstr>
  </property>
</Properties>
</file>