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Performance stepped down versus recent weekday baseline. Gross calls fell 8.6%, and while queue-to-gross improved to 18.4% (+1.0 pt), fewer inbound calls left queue calls down 4.7%. Net calls held essentially flat as improved admissions offset the thinner intake, but net conversion slid to 31.4% (-3.4 pts), pulling orders down 10.6% and revenue down 16.0%. Yield softened across the board with RPGC -8.0%, RPNC -15.5%, and RPO -6.3%, indicating the day’s shortfall was both throughput- and efficiency-driven. Mix tilted slightly toward Site as SERP volume contracted; SERP conversion compressed more sharply and was the primary drag on orders and revenue.</w:t>
      </w:r>
    </w:p>
    <w:p/>
    <w:p>
      <w:r>
        <w:t>Compass/IVR hygiene at the top of the flow was stable to slightly better: bot rate edged down and initial‑question breakage improved modestly, which is expected as bots are filtered at that step. Friction rose later in the IVR, with elevated breakage at DOB (4.2% vs 2.5%) and ERCOT (3.2% vs 1.9%), and weaker throughput around Name/Address collection, which constrained how many passed into queue despite the better Q2G. Bucket-wise, Generic was a bright spot with higher volume and stronger queue exposure, while Aggregator and Brand Partner volumes were down; on SERP specifically, softer Name/Address collection and higher ERCOT friction coincided with lower downstream performance.</w:t>
      </w:r>
    </w:p>
    <w:p/>
    <w:p>
      <w:r>
        <w:t>Down‑funnel, abandonment improved (8.5% vs 10.1%), but agent funnel execution weakened: contact completion fell 6.8 pts and credit‑run propensity fell 5.2 pts. Credit quality was not the issue—pass rate improved to 87.5% (+2.5 pts)—but both passed‑ and failed‑credit close rates eased, combining to drive the 9.9% decline in net conversion. With RPO also down 6.3%, the day ended with fewer orders and less revenue per interaction, concentrated on SERP where conversion degradation was largest; stabilizing Name/Address capture and ERCOT step performance, and reinforcing credit‑run motion, are the most immediate levers to recover throughput and yield.</w:t>
      </w:r>
    </w:p>
    <w:p/>
    <w:p/>
    <w:p>
      <w:r>
        <w:t>=== STEP-LEVEL DRIVERS ===</w:t>
      </w:r>
    </w:p>
    <w:p/>
    <w:p>
      <w:r>
        <w:t>DRIVER 1: Lean Intake, Compass Held Up (Flat Net Supply)</w:t>
      </w:r>
    </w:p>
    <w:p>
      <w:r>
        <w:t>Callout: Gross call volume fell 8.6%, almost entirely from Site and SERP, but Compass admitted a larger share and Q2G ticked up, leaving net calls roughly flat.</w:t>
      </w:r>
    </w:p>
    <w:p>
      <w:r>
        <w:t>Down-funnel impact: Fewer gross calls reduced absolute queue (-61.8), but improved Q2G (+1.0 pts) and lower queue abandonment cushioned agent supply (net -0.5%). With agent exposure flat, downstream shortfalls came from agent-stage efficiency (see Driver 2), not Compass gating.</w:t>
      </w:r>
    </w:p>
    <w:p>
      <w:r>
        <w:t>Evidence: Overall gross calls 6,792 vs 7,427.5 (-635.5, -8.6%); Site gross -438 (-8.0%), SERP gross -197.5 (-10.1%). Entered Compass rate 77.0% vs 74.7% (+2.3 pts). Queue-to-gross 18.4% vs 17.4% (+1.0 pts); queue calls 1,247 vs 1,308.8 (-61.8, -4.7%). Abandon in queue 8.5% vs 10.1% (-1.6 pts). Net calls 1,141 vs 1,146.5 (-5.5, -0.5%).</w:t>
      </w:r>
    </w:p>
    <w:p/>
    <w:p>
      <w:r>
        <w:t>DRIVER 2: Agent Funnel Slippage (Contact and Credit-Run)</w:t>
      </w:r>
    </w:p>
    <w:p>
      <w:r>
        <w:t>Callout: Contact and credit-run rates dropped sharply, pulling down net conversion and orders despite flat net calls.</w:t>
      </w:r>
    </w:p>
    <w:p>
      <w:r>
        <w:t>Down-funnel impact: Lower CIContact (-6.8 pts) and CICredit (-5.2 pts) shrank credit opportunities; even with a higher pass rate (+2.5 pts), both PCC and FCC eased, driving net conversion down (-3.4 pts), orders down (-10.6%), and revenue per net call down (-15.2%).</w:t>
      </w:r>
    </w:p>
    <w:p>
      <w:r>
        <w:t>Evidence: Overall contact rate 73.8% vs 80.6% (-6.8 pts); credit-run 48.4% vs 53.6% (-5.2 pts); passed-credit rate 87.5% vs 85.0% (+2.5 pts); PCC 71.0% vs 72.6% (-1.5 pts); FCC 20.3% vs 22.1% (-1.8 pts). Net conversion 31.4% vs 34.8% (-3.4 pts). Orders 358 vs 400.5 (-42.5, -10.6%). Revenue per net call $83.03 vs $98.26 (-15.2%). Broad-based: Site contact 75.8% vs 84.0% (-8.3 pts), credit-run 60.2% vs 66.2% (-6.0 pts); SERP contact 71.9% vs 77.2% (-5.4 pts), credit-run 36.8% vs 41.2% (-4.4 pts); Natural contact 71.9% vs 82.7% (-10.8 pts), credit-run 56.7% vs 65.0% (-8.2 pts); Other contact 70.2% vs 81.0% (-10.8 pts).</w:t>
      </w:r>
    </w:p>
    <w:p/>
    <w:p>
      <w:r>
        <w:t>DRIVER 3: Softer Revenue Quality and Mix</w:t>
      </w:r>
    </w:p>
    <w:p>
      <w:r>
        <w:t>Callout: Revenue per order and per net call fell, with TXU mix slightly lower, TEE higher, and transfer rate materially higher—amplifying the revenue decline beyond the order shortfall.</w:t>
      </w:r>
    </w:p>
    <w:p>
      <w:r>
        <w:t>Down-funnel impact: With conversion already down (Driver 2), lower RPO (-6.3%) and heavier transfers (+9.8 pts) reduced monetization per sale and per net call, pushing total revenue down 15.9%. SERP and Brand-Partner softness compounded the yield hit.</w:t>
      </w:r>
    </w:p>
    <w:p>
      <w:r>
        <w:t>Evidence: Total revenue $94,736 vs $112,656 (-$17,919, -15.9%); revenue per order $264.63 vs $282.49 (-6.3%); revenue per net $83.03 vs $98.26 (-15.2%). TXU mix 41.6% vs 43.9% (-2.3 pts); TEE mix 19.8% vs 18.8% (+1.0 pts). Allconnect transfer rate 46.9% vs 37.1% (+9.8 pts). SERP revenue $33,028 vs $41,813 (-$8,785, -21.0%); SERP revenue per net $57.34 vs $71.41 (-19.7%); SERP RPO $266.36 vs $271.82 (-2.0%). Brand-Partner revenue $33,124 vs $40,745 (-$7,621, -18.7%).</w:t>
      </w:r>
    </w:p>
    <w:p/>
    <w:p>
      <w:r>
        <w:t>SMALL / SUSPICIOUS CHANGES (optional):</w:t>
      </w:r>
    </w:p>
    <w:p>
      <w:r>
        <w:t>- One weird thing: PMax cratered in volume but spiked in efficiency (gross conversion 23.5% vs 9.7%, PCC 85.7%); tiny base (51 gross) makes this look like noise. Evidence: PMax gross 51 vs 108.8 (-53.1%); orders 12 vs 11 (+9.1%).</w:t>
      </w:r>
    </w:p>
    <w:p>
      <w:r>
        <w:t>- Another oddity: NRG posted outsized wins on a very small base (orders 6 vs 1.8; net conversion 37.5% vs 17.9%), likely statistical noise. Evidence: NRG gross 49 vs 38 (+28.9%); orders +4.25.</w:t>
      </w:r>
    </w:p>
    <w:p>
      <w:r>
        <w:t>- Compass quirk to watch: “Name Collection” queueing spiked in Other (19.0% vs 3.4%, +15.7 pts) and Site (16.6% vs 8.3%, +8.3 pts), which can indicate step-level routing/logging oddities. Evidence: Other and Site queue_rate breakdowns.</w:t>
      </w:r>
    </w:p>
    <w:p>
      <w:r>
        <w:t>- Competitor DOB breakage unusually high on a small base (22.7% vs 7.0%, +15.7 pts), which may be measurement noise or a prompt issue. Evidence: Competitor breakage_rate breakdown (DOB).</w:t>
      </w:r>
    </w:p>
    <w:p/>
    <w:p/>
    <w:p>
      <w:r>
        <w:t>=== MONTH-TO-DATE PACING ===</w:t>
      </w:r>
    </w:p>
    <w:p/>
    <w:p>
      <w:r>
        <w:t>Month-to-date, we are behind Internal Plan on both revenue and orders. Phone revenue is $3,046,733 vs $3,289,227 (-7.4%), and total phone orders are 10,932 vs 11,358 (-3.7%). Despite total queue calls running ahead of plan at 35,725 vs 34,523 (+3.5%), elevated queue abandonment is suppressing agent exposure, pulling total net calls below plan at 32,066 vs 33,101 (-3.1%) with total abandon rate at 10.2% vs 4.1%. Overall conversion is essentially in line at 34.1% vs 34.3% (-0.2 pts), so the gap is largely throughput-driven rather than close-rate driven.</w:t>
      </w:r>
    </w:p>
    <w:p/>
    <w:p>
      <w:r>
        <w:t>The shortfall concentrates in Site admissions and queue hygiene. Site RR is 2.4% vs 3.6% (-34.0%) and Site Q2G is 10.5% vs 23.2% (-54.6%), yielding fewer Site queue calls (17,152 vs 19,587, -12.4%) and net calls (16,027 vs 18,833, -14.9%); Site abandonment is also elevated at 6.6% vs 3.8%. On SERP, Q2G is stronger at 44.0% vs 38.9% (+13.2%) and queue calls are up (18,572 vs 14,936, +24.3%), but abandonment is severely inflated at 13.6% vs 4.5%, which tempers net call lift (16,039 vs 14,268, +12.4%) and leaves conversion slightly softer at 24.8% vs 25.6%. Revenue is trailing plan more than orders, indicating per-order economics are under plan as well. Given recent day-level anomalies, the exceptionally high abandon rates (total 10.2% vs 4.1%; SERP 13.6% vs 4.5%) warrant a quick validation of queue logging, but the MTD gap still traces primarily to Site intake (RR/Q2G) and elevated abandonment.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