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Performance stepped down versus recent weekdays. Gross calls fell 24.4%, but Compass pushed more of what did arrive toward agents, with queue-to-gross up to 17.3% from a 14.8% baseline. Even so, queue and net call counts landed lower (down 11.3% and 10.0%), net conversion eased to 32.1% (vs 33.7%), and orders and revenue declined 14.2% and 17.1%. Yield mixed: RPGC improved 9.3% on tighter intake, while RPNC and RPO slipped 8.5% and 3.7%. Gross conversion ticked up to 5.3% (vs 4.6%), reflecting a thinner but somewhat cleaner top of funnel; however, a heavier SERP mix and softer downstream efficiency ultimately pulled monetization per net down.</w:t>
      </w:r>
    </w:p>
    <w:p/>
    <w:p>
      <w:r>
        <w:t>Compass/IVR hygiene at the top improved: initial‑question breakage eased and bot share was lower than baseline, helping stabilize non‑bot progression. Mid‑flow friction rose, with DOB breakage elevated (4.9%, +1.2 pp) and more callers queuing at Name and ERCOT steps versus baseline; Address queueing also ticked up slightly. Despite those headwinds, Q2G improved and total queue calls held closer to baseline than gross would suggest. SERP was the primary source of IVR friction, notably higher DOB breakage and softer Name/Address throughput, while Site was lighter on volume.</w:t>
      </w:r>
    </w:p>
    <w:p/>
    <w:p>
      <w:r>
        <w:t>Down‑funnel, abandonment was modestly better, but agent‑stage execution softened: contact completion fell 6.7 pp and credit‑run propensity dipped 2.3 pp, compressing net conversion and orders. Passed‑credit close was roughly steady, failed‑credit close slightly higher, but higher transfer rates and a tilt toward lower‑value outcomes weighed on RPNC and RPO. Overall, the day was throughput‑ and execution‑driven: a thinner intake, a bit more mid‑IVR friction, and softer contact/credit execution combined to lower revenue despite improved Q2G and RPGC.</w:t>
      </w:r>
    </w:p>
    <w:p/>
    <w:p/>
    <w:p>
      <w:r>
        <w:t>=== STEP-LEVEL DRIVERS ===</w:t>
      </w:r>
    </w:p>
    <w:p/>
    <w:p>
      <w:r>
        <w:t>DRIVER 1: Call Supply Shrink (especially Site/Natural)</w:t>
      </w:r>
    </w:p>
    <w:p>
      <w:r>
        <w:t>Callout: Gross calls fell sharply, led by Site and Natural, which starved the funnel despite a healthier Compass admission rate.</w:t>
      </w:r>
    </w:p>
    <w:p>
      <w:r>
        <w:t>Down-funnel impact: With fewer gross calls, fewer callers reached Compass and queue, capping net calls and orders. Although Compass filtered bots better and Q2G rose, the volume shortfall dominated. This cascaded to fewer agent touches (net calls), fewer orders, and lower total revenue even as gross conversion ticked up from tighter filtering.</w:t>
      </w:r>
    </w:p>
    <w:p>
      <w:r>
        <w:t>Evidence: Overall gross calls 6,724 vs 8,890 (−2,166, −24.4%); Site gross 4,978 vs 6,795 (−1,817, −26.7%); Natural gross 3,251 vs 4,242 (−991, −23.4%); SERP gross 1,746 vs 2,096 (−350, −16.7%). Entered Compass rate up to 77.2% (+5.2 pp) and bot rate down to 46.6% (−6.1 pp), but queue calls still slipped 1,165 vs 1,313 (−148, −11.3%), net calls 1,101 vs 1,223 (−122, −10.0%), orders 353 vs 412 (−58, −14.2%), total revenue $96,403 vs $116,288 (−$19,884, −17.1%).</w:t>
      </w:r>
    </w:p>
    <w:p/>
    <w:p>
      <w:r>
        <w:t>DRIVER 2: Agent-Stage Softness (Contact/Credit) Compressed Conversion</w:t>
      </w:r>
    </w:p>
    <w:p>
      <w:r>
        <w:t>Callout: Contact completion and credit-run propensity declined across major channels, pulling down net conversion.</w:t>
      </w:r>
    </w:p>
    <w:p>
      <w:r>
        <w:t>Down-funnel impact: Lower CIContact reduced how many queued callers progressed to credit; lower CICredit shrank the pool eligible for post-credit close. This cut net conversion and orders and reduced revenue per net call. The effect was broad-based across Site and SERP.</w:t>
      </w:r>
    </w:p>
    <w:p>
      <w:r>
        <w:t>Evidence: Overall contact rate 73.7% vs 80.4% (−6.7 pp); credit-run rate 49.9% vs 52.2% (−2.3 pp); net conversion 32.1% vs 33.7% (−1.7 pp). Site: contact 74.5% (−8.7 pp), credit-run 61.4% (−3.3 pp), net conversion 39.5% (−2.9 pp). SERP: contact 72.8% (−5.1 pp), credit-run 38.6% (−2.6 pp), net conversion 24.9% (−1.3 pp). Revenue per net call $87.6 vs $95.7 (−8.1%).</w:t>
      </w:r>
    </w:p>
    <w:p/>
    <w:p>
      <w:r>
        <w:t>DRIVER 3: Monetization/Yield Drag from Higher Transfer Mix</w:t>
      </w:r>
    </w:p>
    <w:p>
      <w:r>
        <w:t>Callout: Transfer mix spiked, and RPO eased, pulling revenue down more than orders.</w:t>
      </w:r>
    </w:p>
    <w:p>
      <w:r>
        <w:t>Down-funnel impact: Heavier Allconnect transfer share is typically lower-yield; combined with softer agent efficiency, this reduced revenue per order and per net. Despite a slight uptick in TXU/TEE order mix, overall revenue quality dipped, magnifying the topline decline beyond the drop in orders.</w:t>
      </w:r>
    </w:p>
    <w:p>
      <w:r>
        <w:t>Evidence: Allconnect transfer rate 49.3% vs 36.7% (+12.6 pp). Revenue per order $273.1 vs $283.7 (−3.7%); revenue per net call $87.6 vs $95.7 (−8.1%). Site transfer 52.8% vs 36.0% (+16.8 pp) and SERP transfer 43.9% vs 37.7% (+6.2 pp). Total revenue $96,403 vs $116,288 (−$19,884, −17.1%) vs orders −14.2%. TXU mix 45.0% (+2.2 pp), TEE mix 19.8% (+0.4 pp).</w:t>
      </w:r>
    </w:p>
    <w:p/>
    <w:p>
      <w:r>
        <w:t>SMALL / SUSPICIOUS CHANGES (optional):</w:t>
      </w:r>
    </w:p>
    <w:p>
      <w:r>
        <w:t>- One weird thing: PMax cratered on tiny volume — orders 5.0 vs 14.8 (−66.1%) with net conversion 18.5% (−30.5 pp) and queue hang-ups spiking (abandon in queue 12.9% vs 2.3%, +10.7 pp).</w:t>
      </w:r>
    </w:p>
    <w:p>
      <w:r>
        <w:t>- Notable spike: SERP DOB breakage rose — 10.2% vs 6.4% (+3.8 pp), echoing the overall DOB uptick (5.0% vs 3.7%, +1.2 pp).</w:t>
      </w:r>
    </w:p>
    <w:p>
      <w:r>
        <w:t>- Utility anomaly: Name Collection queueing jumped — 38.5% vs 8.5% (+30.0 pp) with small base; could be mis-tagging or a flow quirk.</w:t>
      </w:r>
    </w:p>
    <w:p>
      <w:r>
        <w:t>- Odd FCC signal: Other bucket failed-credit conversion surged to 44.4% vs 9.4% (+35.1 pp) on very low volume, likely noise.</w:t>
      </w:r>
    </w:p>
    <w:p/>
    <w:p/>
    <w:p>
      <w:r>
        <w:t>=== MONTH-TO-DATE PACING ===</w:t>
      </w:r>
    </w:p>
    <w:p/>
    <w:p>
      <w:r>
        <w:t>Month-to-date we are significantly behind Internal Plan. Total_queue_calls are 5,613 vs 34,523 (-83.7%), driving total_net_calls to 5,124 vs 33,101 (-84.5%) and total_phone_orders to 1,661 vs 11,358 (-85.4%); phone_revenue is 464,569 vs 3,289,227 (-85.9%). The gap sits overwhelmingly in intake and queue health: site_rr is 2.7% vs 3.6% (-26.2%) and site_q2g is 11.1% vs 23.2% (-52.3%), while serp_rr is 3.1% vs 3.4% (-10.8%). Even though serp_q2g is better than plan at 44.2% vs 38.9% (+13.5%), abandonment is the choke point—serp_abandon_rate is 11.9% vs 4.5% (+165.5%), pushing total_abandon_rate to 8.7% vs 4.1% (+111.5%) and starving net exposure. Down-funnel efficiency is only modestly below plan (total_conversion_rate 32.4% vs 34.3%, -5.6%; site_conversion_rate 40.6% vs 40.9%, -0.7%; serp_conversion_rate 24.0% vs 25.6%, -6.3%), confirming the miss is primarily fewer qualified calls reaching agents, not agent-stage close.</w:t>
      </w:r>
    </w:p>
    <w:p/>
    <w:p>
      <w:r>
        <w:t>One tracking/diagnostic flag: site_q2g at 11.1% vs 23.2% alongside serp_q2g above plan but abnormally high serp_abandon_rate suggests a mix of early IVR filtering (potential bot-heavy noise at the initial question) and/or queue logging/staffing artifacts; phone_vc is also down to 1.0% vs 1.4% (-27.9%), consistent with weaker admissions rather than yield.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