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a down day versus recent weekday norms, with softness from top-of-funnel through revenue. Gross calls fell 9.1% to 7,138 and queue-to-gross eased to 12.8% (vs 14.6%), pulling queue calls down 19.3% and net calls down 16.7%. Net conversion stepped down to 29.1% (vs 34.1%) and gross conversion to 3.7% (vs 4.8%). Revenue landed at $75,149, down 28.8%, with revenue per gross call at $10.53 (vs $13.63) and revenue per net call at $83.13 (vs $97.24). Per-order monetization held essentially flat at $285.7. Both Site (-6.3%) and SERP (-18.7%) intake contracted; Aggregator and Brand-Partner were notably lighter, while Natural remained large but produced fewer human callers.</w:t>
      </w:r>
    </w:p>
    <w:p/>
    <w:p>
      <w:r>
        <w:t>Compass/IVR hygiene tightened at the top but with a heavier bot tide: 60.2% of Compass entries were bots (vs 52.8%), filtered primarily at the initial question, which lifted early breakage and reduced human supply. Beyond that first screen, friction was higher at ZIP and DOB, and total “passed initial question” counts fell 20.1%, keeping Q2G down and queue exposure light despite improved abandonment. SERP pass-through to queue was slightly better than baseline on those who entered, but the sharper SERP volume decline capped impact; on Site, elevated early breakage and weaker mid-step completion limited progression.</w:t>
      </w:r>
    </w:p>
    <w:p/>
    <w:p>
      <w:r>
        <w:t>Down-funnel, queue abandonment improved to 1.4% (vs 4.3%), but agent-stage execution softened: contact completion fell 5.3 points and credit-run propensity 6.7 points, with the dip concentrated on Site. Credit quality was roughly stable-to-soft (PCR 85.3%, -0.9 points), passed-credit conversion ticked down (PCC 70.0%, -1.5 points), and overall net conversion slipped 5.0 points. A heavier transfer mix (+14.9 points) further pressured revenue per net, while RPO stayed steady. Mix compounded these effects—Brand-Partner conversion compressed and Aggregator supply was thin—leaving fewer, lower-yield net opportunities and fewer orders (-29.0%) overall.</w:t>
      </w:r>
    </w:p>
    <w:p/>
    <w:p/>
    <w:p>
      <w:r>
        <w:t>=== STEP-LEVEL DRIVERS ===</w:t>
      </w:r>
    </w:p>
    <w:p/>
    <w:p>
      <w:r>
        <w:t>DRIVER 1: Non‑bot supply shrank as bot mix rose</w:t>
      </w:r>
    </w:p>
    <w:p>
      <w:r>
        <w:t>Callout: Gross calls fell and bot share jumped, cutting non‑bot Compass supply and shrinking queue and net exposure.</w:t>
      </w:r>
    </w:p>
    <w:p>
      <w:r>
        <w:t>Down-funnel impact: Lower non‑bot intake reduced passed‑initial‑question volume → fewer queue calls (exposure) → fewer net calls for agents → fewer contacts and credits → orders and RPGC fell even with RPO flat.</w:t>
      </w:r>
    </w:p>
    <w:p>
      <w:r>
        <w:t>Evidence: Gross calls 7,138 vs 7,856 (-718, -9.1%); any‑bot rate 60.2% vs 52.8% (+7.4 pts); non‑bot Compass calls 2,248 vs 2,762 (-514, -18.6%); passed initial question 1,002 vs 1,254 (-252, -20.1%); queue calls 917 vs 1,137 (-220, -19.3%); net calls 904 vs 1,086 (-182, -16.7%); orders 263 vs 371 (-108, -29.0%); RPGC $10.5 vs $13.6 (-$3.1, -22.8%). Biggest volume gaps were Site gross -377 (-6.3%), SERP gross -341 (-18.7%), Brand Partner gross -312 (-21.8%), Aggregator gross -163 (-37.6%).</w:t>
      </w:r>
    </w:p>
    <w:p/>
    <w:p>
      <w:r>
        <w:t>DRIVER 2: Higher IVR breakage at the initial question (and ZIP) throttled queueing, led by Site/Natural</w:t>
      </w:r>
    </w:p>
    <w:p>
      <w:r>
        <w:t>Callout: Early Compass friction increased—especially at the initial question and ZIP—pushing queue‑to‑gross down and reducing pass‑through to agents.</w:t>
      </w:r>
    </w:p>
    <w:p>
      <w:r>
        <w:t>Down-funnel impact: Fewer callers cleared early IVR → queue‑to‑gross fell → queue and net supply declined despite improved abandonment → fewer agent attempts → fewer orders and lower revenue.</w:t>
      </w:r>
    </w:p>
    <w:p>
      <w:r>
        <w:t>Evidence: Overall initial‑question breakage 82.0% vs 78.3% (+3.7 pts) and ZIP breakage 5.4% vs 4.0% (+1.4 pts); queue‑to‑gross 12.8% vs 14.6% (-1.8 pts). Site: passed initial question 437 vs 562 (-125, -22.2%), queue‑to‑gross 7.1% vs 8.8% (-1.7 pts), net calls 399 vs 507 (-108, -21.2%). Natural: queue‑to‑gross 3.9% vs 4.5% (-0.6 pts), passed initial question 112 vs 136 (-23.5, -17.3%), net calls 138 vs 159 (-21, -13.2%). “Other” bucket anomaly highlighting Compass friction: entered Compass +152 (+22.2%) but passed initial question 23 vs 49.5 (-26.5, -53.5%), queue‑to‑initial‑question‑passed 41.1% vs 86.2% (-45.1 pts), initial‑question breakage +4.7 pts.</w:t>
      </w:r>
    </w:p>
    <w:p/>
    <w:p>
      <w:r>
        <w:t>DRIVER 3: Agent‑stage softness at contact and credit, plus heavier transfers, cut conversion and yield</w:t>
      </w:r>
    </w:p>
    <w:p>
      <w:r>
        <w:t>Callout: Contact completion and credit‑run propensity declined across major buckets while transfer mix got heavier, pulling down net conversion and revenue per net call.</w:t>
      </w:r>
    </w:p>
    <w:p>
      <w:r>
        <w:t>Down-funnel impact: Fewer nets progressed to pitch/close → net conversion dropped → orders fell faster than net volume; heavier transfers pressured revenue per net (RPNC) and overall RPGC even as RPO held flat.</w:t>
      </w:r>
    </w:p>
    <w:p>
      <w:r>
        <w:t>Evidence: Overall contact 73.9% vs 79.2% (-5.3 pts), credit‑run 46.0% vs 52.5% (-6.7 pts), net conversion 29.1% vs 34.1% (-5.0 pts), orders 263 vs 371 (-108, -29.0%); Allconnect transfer rate 51.7% vs 36.8% (+14.9 pts); RPNC $83.1 vs $97.2 (-$14.1, -14.5%). Site: contact -3.7 pts, credit -5.8 pts, net conversion -4.7 pts, RPNC $116.7 vs $127.7 (-$11.0, -8.6%). SERP: contact -6.2 pts, credit -6.1 pts, net conversion -4.5 pts, RPNC $56.6 vs $70.5 (-$13.9, -19.8%). Brand Partner: contact -4.5 pts, credit -6.5 pts, net conversion -5.0 pts, orders 96 vs 147 (-51, -34.6%).</w:t>
      </w:r>
    </w:p>
    <w:p/>
    <w:p>
      <w:r>
        <w:t>SMALL / SUSPICIOUS CHANGES (optional):</w:t>
      </w:r>
    </w:p>
    <w:p>
      <w:r>
        <w:t>- One weird thing: “Other” bucket flooded Compass (+22.2%) but then stalled—passed initial question halved (23 vs 49.5, -53.5%) and queue‑to‑initial‑question‑passed collapsed to 41.1% vs 86.2% (-45.1 pts); initial‑question breakage also rose (+4.7 pts).</w:t>
      </w:r>
    </w:p>
    <w:p>
      <w:r>
        <w:t>- Competitor contact cratered: contact rate 50.9% vs 79.6% (-28.7 pts) with net calls actually up (+6.1%), pointing to potential data capture or call‑type mix issue.</w:t>
      </w:r>
    </w:p>
    <w:p>
      <w:r>
        <w:t>- Utility transfers look off: 100.0% vs 30.8% (+69.2 pts) on small volume, alongside net conversion dropping to 12.5% (-12.1 pts).</w:t>
      </w:r>
    </w:p>
    <w:p>
      <w:r>
        <w:t>- PMax Name‑collection queueing spiked: Name queue rate 42.9% vs 7.3% (+35.6 pts) and ERCOT breakage appeared at 18.2% from 0.0%—tiny base but unusual.</w:t>
      </w:r>
    </w:p>
    <w:p/>
    <w:p/>
    <w:p>
      <w:r>
        <w:t>=== MONTH-TO-DATE PACING ===</w:t>
      </w:r>
    </w:p>
    <w:p/>
    <w:p>
      <w:r>
        <w:t>Month-to-date, we are behind Internal Plan on both orders and revenue: 10,824 total phone orders vs 11,358 planned and $3,062,191 revenue vs $3,289,227 planned. The shortfall is concentrated in the phone funnel’s exposure and queue efficiency. Up-funnel intake is lighter than plan on both channels (Site RR 2.5% vs 3.6%; SERP RR 2.6% vs 3.4%), and Site progression into queue is sharply under plan (Site Q2G 10.4% vs 23.2%), yielding fewer Site queue calls (16,915 vs 19,587). While SERP queue calls are ahead (18,219 vs 14,936) and lift total queue slightly above plan (35,134 vs 34,523), elevated abandonment is erasing that advantage (Total Abandon 9.2% vs 4.1%; Site 5.8% vs 3.8%; SERP 12.3% vs 4.5%), pulling total net calls below plan (31,910 vs 33,101). Down-funnel efficiency is roughly on plan overall (Total Conversion 33.9% vs 34.3%), with Site converting better than plan (43.0% vs 40.9%) and SERP slightly worse (24.9% vs 25.6%), confirming the gap sits primarily in reduced Site exposure and higher queue abandonment rather than agent-stage sell-through.</w:t>
      </w:r>
    </w:p>
    <w:p/>
    <w:p>
      <w:r>
        <w:t>One potential measurement/experience flag: Site Q2G is unusually depressed at 10.4% vs 23.2% plan despite otherwise solid Site conversion, which is consistent with recent early-IVR breakage. Similarly, SERP abandonment at 12.3% vs 4.5% plan is atypically high relative to its strong Q2G (44.1% vs 38.9%), suggesting possible routing or queueing friction rather than pure demand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