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Performance stepped down versus recent weekday norms. Gross call volume fell 19.3%, and queue-to-gross edged down to 14.2% (vs 14.7%), pulling queue calls down 21.5% and net calls down 12.6%. Gross conversion improved slightly (4.7% vs 4.5%), lifting RPGC to $13.37 (+3.0%), but softer per‑net yield (RPNC $94.74, -4.0%) and slightly lower RPO ($285.14, -1.8%) meant orders declined 13.4% to 313 and revenue landed at $89,249 (-15.0%). Intake was lighter across both Site and SERP, with Aggregator and Brand‑Partner especially thin, limiting high‑quality exposure.</w:t>
      </w:r>
    </w:p>
    <w:p/>
    <w:p>
      <w:r>
        <w:t>Compass health was mixed. Bot rate rose to 58.4%, and—as expected at the initial question where bots are filtered—breakage ticked up, shrinking non‑bot supply (-23.3%) and passes to the next step. Mid‑IVR friction increased at ZIP (breakage 7.4% vs 4.5%), partly offset by modest improvement at Address; ERCOT/credit‑hit progression was slightly softer. Net result: queue‑to‑gross slipped and queue calls fell to 950, with SERP pass‑through roughly stable while Site Q2G dipped.</w:t>
      </w:r>
    </w:p>
    <w:p/>
    <w:p>
      <w:r>
        <w:t>Down‑funnel, abandonment improved sharply (0.8% vs 9.9%), but agent‑stage execution softened: contact completion and credit‑run rates both declined (72.9% and 47.8% vs 77.2% and 51.4%), nudging net conversion down to 33.2% (vs 33.9%). Despite better PCC and steady FCC, a heavier transfer mix pressured per‑net yield. SERP held up better with net conversion ahead of baseline and orders roughly flat, while Site softness at contact and credit drove most of the order and revenue shortfall.</w:t>
      </w:r>
    </w:p>
    <w:p/>
    <w:p/>
    <w:p>
      <w:r>
        <w:t>=== STEP-LEVEL DRIVERS ===</w:t>
      </w:r>
    </w:p>
    <w:p/>
    <w:p>
      <w:r>
        <w:t>DRIVER 1: Site-Led Supply Contraction And Higher Bot Mix</w:t>
      </w:r>
    </w:p>
    <w:p>
      <w:r>
        <w:t>Callout: Gross call volume fell sharply, led by Site and Brand demand, while bot mix rose—shrinking human supply into the funnel.</w:t>
      </w:r>
    </w:p>
    <w:p>
      <w:r>
        <w:t>Down-funnel impact: Lower gross volume → fewer non-bot callers (Compass) and fewer passing the first question → fewer calls queued and reaching agents → fewer opportunities to contact and run credit → slightly lower net conversion and fewer orders → total revenue down despite a small uptick in revenue per gross call.</w:t>
      </w:r>
    </w:p>
    <w:p>
      <w:r>
        <w:t xml:space="preserve">Evidence: </w:t>
      </w:r>
    </w:p>
    <w:p>
      <w:r>
        <w:t xml:space="preserve">- Overall gross calls 6,676 (−1,594; −19.3%); entered Compass 5,177 (−1,207; −18.9%); any-bot rate 58.4% (+3.4 pp); non-bot Compass calls 2,152 (−655; −23.3%); passed initial question 1,023 (−311; −23.3%); queue calls 950 (−260; −21.5%); net calls 942 (−136; −12.6%); orders 313 (−48; −13.4%); total revenue $89,249 (−$15,737; −15.0%); revenue per gross call $13.37 (+3.0%). </w:t>
      </w:r>
    </w:p>
    <w:p>
      <w:r>
        <w:t xml:space="preserve">- Site gross 5,153 (−1,272; −19.8%); non-bot Compass 1,347 (−438; −24.5%); net calls 432 (−104; −19.4%); orders 181 (−50; −21.7%); revenue $52,784 (−$15,950; −23.2%). </w:t>
      </w:r>
    </w:p>
    <w:p>
      <w:r>
        <w:t>- Brand-Partner gross 1,034 (−386; −27.2%); net calls 417 (−76.5; −15.5%); orders 107 (−22; −16.9%); revenue $29,484 (−$6,700; −18.5%).</w:t>
      </w:r>
    </w:p>
    <w:p/>
    <w:p>
      <w:r>
        <w:t>DRIVER 2: Early IVR Friction (ZIP + Initial Question) Cut Site Pass-Through</w:t>
      </w:r>
    </w:p>
    <w:p>
      <w:r>
        <w:t>Callout: First-question and ZIP-step friction ticked up, and Site queue-to-gross slipped—reducing pass-through to agents.</w:t>
      </w:r>
    </w:p>
    <w:p>
      <w:r>
        <w:t>Down-funnel impact: Compass friction (more breakage at the first question/ZIP) → fewer Site callers passing the initial question and entering queue → fewer net calls → combined with weaker agent-step completion (Driver 3), orders and revenue fell disproportionately on Site.</w:t>
      </w:r>
    </w:p>
    <w:p>
      <w:r>
        <w:t>Evidence:</w:t>
      </w:r>
    </w:p>
    <w:p>
      <w:r>
        <w:t xml:space="preserve">- Overall Compass: initial question breakage 79.5% (+1.2 pp); ZIP breakage 7.4% (+2.9 pp); queue-to-gross 14.2% (−0.4 pp). </w:t>
      </w:r>
    </w:p>
    <w:p>
      <w:r>
        <w:t xml:space="preserve">- Site: passed initial question 449 (−159; −26.2%); queue-to-gross 8.4% (−0.7 pp); queue calls 435 (−148; −25.4%); ZIP breakage 3.9% (+2.4 pp); ERCOT breakage 2.8% (+1.6 pp); initial question breakage 88.8% (+1.1 pp). </w:t>
      </w:r>
    </w:p>
    <w:p>
      <w:r>
        <w:t>- Net effect on Site: net calls 432 (−104; −19.4%); orders 181 (−50; −21.7%); revenue $52,784 (−$15,950; −23.2%).</w:t>
      </w:r>
    </w:p>
    <w:p/>
    <w:p>
      <w:r>
        <w:t>DRIVER 3: Agent-Funnel Softness (Contact + Credit) Reduced Conversion And Yield</w:t>
      </w:r>
    </w:p>
    <w:p>
      <w:r>
        <w:t>Callout: Contact and credit-run rates fell across key buckets—especially on Site, Generic, and Brand-Partner—pulling net conversion and revenue per net call down despite stronger post-credit close rates.</w:t>
      </w:r>
    </w:p>
    <w:p>
      <w:r>
        <w:t>Down-funnel impact: Lower contact completion → fewer credit runs → fewer qualified pitches → slight dip in net conversion and fewer orders. Heavier transfer mix and a lower TXU mix nudged revenue quality down (RPO and RPNC), even as PCC improved.</w:t>
      </w:r>
    </w:p>
    <w:p>
      <w:r>
        <w:t>Evidence:</w:t>
      </w:r>
    </w:p>
    <w:p>
      <w:r>
        <w:t>- Overall agent metrics: contact rate 72.9% (−4.3 pp); credit-run rate 47.8% (−3.6 pp); net conversion 33.2% (−0.7 pp); revenue per net call $94.74 (−4.0%); allconnect transfer rate 44.4% (+4.9 pp); revenue per order $285.14 (−1.8%).</w:t>
      </w:r>
    </w:p>
    <w:p>
      <w:r>
        <w:t xml:space="preserve">- Site: contact 75.2% (−5.3 pp); credit-run 58.3% (−4.6 pp); net conversion 41.9% (−1.6 pp). </w:t>
      </w:r>
    </w:p>
    <w:p>
      <w:r>
        <w:t xml:space="preserve">- Brand-Partner: contact 72.9% (−3.5 pp); credit-run 39.6% (−2.5 pp); net conversion 25.7% (−0.7 pp). </w:t>
      </w:r>
    </w:p>
    <w:p>
      <w:r>
        <w:t xml:space="preserve">- Generic: contact 79.7% (−5.8 pp); credit-run 64.8% (−8.1 pp); net conversion 45.3% (−4.0 pp). </w:t>
      </w:r>
    </w:p>
    <w:p>
      <w:r>
        <w:t>- Quality/mix: passed-credit conversion 76.5% (+4.2 pp); failed-credit conversion 24.2% (+0.4 pp); TXU order mix 37.1% (−7.6 pp); TEE order mix 26.8% (+8.1 pp).</w:t>
      </w:r>
    </w:p>
    <w:p/>
    <w:p>
      <w:r>
        <w:t>SMALL / SUSPICIOUS CHANGES (optional):</w:t>
      </w:r>
    </w:p>
    <w:p>
      <w:r>
        <w:t>- One weird thing: “Other” bucket stalled immediately after the first question. Passed initial question 23 (−25; −51.8%), queue-to-initial-question-passed rate −32.2 pp, initial-question breakage 96.1% (+3.2 pp), and bot rate 76.4% (+5.9 pp). Looks like misrouted or bot-heavy traffic.</w:t>
      </w:r>
    </w:p>
    <w:p>
      <w:r>
        <w:t>- PMax collapsed: gross 53 (−70; −57.1%), net 9 (−11; −55.6%), orders 3 (−4; −57.1%). Small base but acute pullback.</w:t>
      </w:r>
    </w:p>
    <w:p>
      <w:r>
        <w:t>- Transfer behavior elevated broadly: overall +4.9 pp to 44.4%, with SERP +8.8 pp and Brand-Partner +5.7 pp—worth a quick check for routing/policy shifts.</w:t>
      </w:r>
    </w:p>
    <w:p/>
    <w:p/>
    <w:p>
      <w:r>
        <w:t>=== MONTH-TO-DATE PACING ===</w:t>
      </w:r>
    </w:p>
    <w:p/>
    <w:p>
      <w:r>
        <w:t>Month-to-date, we are behind Internal Plan on revenue and orders, with phone revenue at 3,071,151 vs 3,289,227 (-6.6%) and total phone orders at 10,840 vs 11,358 (-4.6%). The core gap is volume leakage in the phone funnel: total queue calls are actually slightly ahead at 35,042 vs 34,523 (+1.5%), but total abandon rate is 8.8% vs 4.1% (+113.1%), pulling total net calls down to 31,966 vs 33,101 (-3.4%) and trimming total conversion to 33.9% vs 34.3% (-1.2%). On Site, intake and early IVR are the main drags—Site RR is 2.5% vs 3.6% (-32.4%) and Site Q2G is 10.3% vs 23.2% (-55.6%)—resulting in fewer Site queue calls (16,881 vs 19,587, -13.9%), fewer Site net calls (15,939 vs 18,833, -15.3%), and lower Site orders (6,850 vs 7,710, -11.1%) despite stronger Site conversion at 43.0% vs 40.9% (+5.0%). SERP partially offsets on exposure—SERP Q2G is 44.1% vs 38.9% (+13.3%), queue calls are 18,160 vs 14,936 (+21.6%), and net calls are 16,027 vs 14,268 (+12.3%)—driving SERP orders above plan at 3,990 vs 3,648 (+9.4%), though SERP conversion is a touch softer at 24.9% vs 25.6% (-2.6%) and SERP abandon is elevated at 11.7% vs 4.5% (+162.7%).</w:t>
      </w:r>
    </w:p>
    <w:p/>
    <w:p>
      <w:r>
        <w:t>The outsized SERP abandon rate and the unusually low Site Q2G are outliers versus plan and mirror recent day-level signs of higher early-IVR breakage; these could include pockets of staffing/routing strain or measurement artifacts and are worth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