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Yesterday underperformed recent weekday norms. Gross call volume fell 11.0%, and while queue-to-gross edged up to 16.9%, both queue and net call counts declined (down 6.7% and 8.9%, respectively). Orders dropped 11.4% to 371, and revenue fell 16.2% to $99,250. Gross conversion was essentially flat near 5.0%, but net conversion slipped 0.9 points to 32.5%. Yield compressed across the board: RPGC was $13.25 (-6.6%), RPNC $86.8 (-8.2%), and RPO $267.5 (-5.5%). Mix worked against us: Brand-Partner volume stepped down materially, and heavier Natural exposure carried weaker downstream quality, pulling overall revenue below baseline.</w:t>
      </w:r>
    </w:p>
    <w:p/>
    <w:p>
      <w:r>
        <w:t>Compass/IVR indicators were mixed. More calls reached Compass (entered rate 83.4% vs 76.8%), but bot filtering at the initial question ticked up, and non-bot supply and initial-question passes both fell about 6%, limiting queue formation. Later-step behavior showed elevated ZIP collection breakage, partially offset by stronger queueing at Name and Moving/Switching, while ERCOT checks were slightly less successful. Site bore most of the early‑IVR drag: non-bot Site volume and queues declined and Q2G was flat-to-down at 9.7%. SERP was steadier with lower bot mix, Q2G up to 38.3%, and slightly better step health, but lighter volume meant it could not offset Site’s shortfall. Net result: queues landed at 1,269 (-6.7%).</w:t>
      </w:r>
    </w:p>
    <w:p/>
    <w:p>
      <w:r>
        <w:t>Downstream, abandonment worsened to 9.9% and early-agent execution softened (contact -2.0 points), but the biggest headwind was credit: pass rate fell 7.5 points to 77.2%. Post-credit close improved and failed-credit close held, yet could not overcome fewer credit passes, keeping net conversion slightly below baseline and compressing yield. Natural delivered more queues but weaker conversion and credit quality, while Brand-Partner conversion held up slightly but on lower volume; SERP ticked up modestly on conversion versus its baseline but lacked scale. These combined effects reduced RPO and per-interaction revenue, leaving total revenue below plan despite some resilience late in the funnel.</w:t>
      </w:r>
    </w:p>
    <w:p/>
    <w:p/>
    <w:p>
      <w:r>
        <w:t>=== STEP-LEVEL DRIVERS ===</w:t>
      </w:r>
    </w:p>
    <w:p/>
    <w:p>
      <w:r>
        <w:t>DRIVER 1: Site Volume Drop Shrunk Exposure</w:t>
      </w:r>
    </w:p>
    <w:p>
      <w:r>
        <w:t>Callout: Gross calls fell 11.0%, driven mostly by Site (-11.5%) and Brand-Partner/Aggregator declines, which cascaded into fewer net calls and orders.</w:t>
      </w:r>
    </w:p>
    <w:p>
      <w:r>
        <w:t>Down-funnel impact: Lower gross volume → fewer Compass entries and non-bot supply → fewer queue calls → net calls down 8.9% → orders down 11.4% → revenue down 16.2% (exacerbated by lower yield).</w:t>
      </w:r>
    </w:p>
    <w:p>
      <w:r>
        <w:t>Evidence: Overall gross calls 7,488 vs 8,413.5 (−925.5, −11.0%); Site gross calls 5,584 vs 6,311.8 (−727.8, −11.5%); Brand-Partner gross calls 1,337 vs 1,574.8 (−237.8, −15.1%); Aggregator gross calls 297 vs 444.3 (−147.3, −33.1%); Queue calls 1,269 vs 1,359.8 (−90.8, −6.7%); Net calls 1,143 vs 1,254.8 (−111.8, −8.9%); Orders 371 vs 418.5 (−47.5, −11.4%); Total revenue $99,250 vs $118,402 (−$19,152, −16.2%).</w:t>
      </w:r>
    </w:p>
    <w:p/>
    <w:p>
      <w:r>
        <w:t>DRIVER 2: Compass/Queue Friction Trimmed Pass-Through</w:t>
      </w:r>
    </w:p>
    <w:p>
      <w:r>
        <w:t>Callout: While a higher share of calls entered Compass (+5.7 pp), more callers broke at ZIP and more hung up in queue; bot rate also ticked up, cutting human supply.</w:t>
      </w:r>
    </w:p>
    <w:p>
      <w:r>
        <w:t>Down-funnel impact: Non-bot Compass calls fell 6.3% and initial-question passes slipped 6.2% → queue down 6.7%. Elevated queue abandonment (+2.4 pp) then reduced net calls (−8.9%), compressing orders and revenue despite a slightly higher Q2G rate.</w:t>
      </w:r>
    </w:p>
    <w:p>
      <w:r>
        <w:t>Evidence: Entered Compass rate 78.5% vs 72.8% (+5.7 pp); Any-bot call rate 51.0% vs 49.6% (+1.4 pp); Non-bot Compass calls 2,880 vs 3,072.8 (−192.8, −6.3%); Passed initial question 1,345 vs 1,433.3 (−88.3, −6.2%); ZIP breakage +1.7 pp (6.1% vs 4.4%); Hung up in queue 9.9% vs 7.6% (+2.4 pp); Queue calls 1,269 vs 1,359.8 (−90.8, −6.7%); Net calls 1,143 vs 1,254.8 (−111.8, −8.9%).</w:t>
      </w:r>
    </w:p>
    <w:p/>
    <w:p>
      <w:r>
        <w:t>DRIVER 3: Revenue Quality Compressed (Provider Mix Shift)</w:t>
      </w:r>
    </w:p>
    <w:p>
      <w:r>
        <w:t>Callout: Mix shifted away from TXU and toward TEE, pulling revenue per order down 5.5% and causing revenue to fall faster than orders.</w:t>
      </w:r>
    </w:p>
    <w:p>
      <w:r>
        <w:t>Down-funnel impact: Volume and net conversion softness produced fewer orders; within those orders, less TXU (higher-yield) and more TEE lowered RPO → revenue per net call fell 8.2% and revenue per gross call fell 6.6%, amplifying the top-line shortfall.</w:t>
      </w:r>
    </w:p>
    <w:p>
      <w:r>
        <w:t>Evidence: TXU order mix 40.2% vs 43.98% (−3.8 pp); TEE order mix 20.8% vs 18.2% (+2.5 pp); Revenue per order $267.52 vs $283.20 (−$15.68, −5.5%); Revenue per net call $86.83 vs $94.61 (−8.2%); Revenue per gross call $13.25 vs $14.19 (−6.6%); Total revenue $99,250 vs $118,402 (−$19,152, −16.2%) vs Orders 371 vs 418.5 (−11.4%).</w:t>
      </w:r>
    </w:p>
    <w:p/>
    <w:p>
      <w:r>
        <w:t>SMALL / SUSPICIOUS CHANGES (optional):</w:t>
      </w:r>
    </w:p>
    <w:p>
      <w:r>
        <w:t>- One weird thing: PMax showed a big jump in bot exposure and an unusually high Compass entry rate on tiny volume. Any-bot rate 61.0% vs 43.7% (+17.3 pp) with Entered Compass rate 96.7% vs 79.0% (+17.7 pp); Gross calls only 61 (−45.7%).</w:t>
      </w:r>
    </w:p>
    <w:p>
      <w:r>
        <w:t>- Other bucket IVR friction spikes: Name and ZIP breakage were much higher than baseline. Name breakage +7.5 pp (9.5% vs 2.0%); ZIP breakage +6.0 pp (7.7% vs 1.7%).</w:t>
      </w:r>
    </w:p>
    <w:p>
      <w:r>
        <w:t>- Failed-credit closes jumped in small buckets, which is atypical. Aggregator FCC 42.9% vs 14.8% (+28.1 pp); Competitor FCC 54.5% vs 21.9% (+32.7 pp) on low order counts.</w:t>
      </w:r>
    </w:p>
    <w:p>
      <w:r>
        <w:t>- Brand-Partner queue hang-ups elevated, hinting at staffing/latency pockets. Hung up in queue 12.6% vs 8.1% (+4.6 pp).</w:t>
      </w:r>
    </w:p>
    <w:p/>
    <w:p/>
    <w:p>
      <w:r>
        <w:t>=== MONTH-TO-DATE PACING ===</w:t>
      </w:r>
    </w:p>
    <w:p/>
    <w:p>
      <w:r>
        <w:t>Month-to-date we are behind Internal Plan on both orders and revenue, with 10,646 phone orders vs 11,358 planned and $3,005,817 in phone revenue vs $3,289,227 planned. The shortfall is concentrated pre‑agent on Site and in the queue across channels: Site RR is 2.5% vs 3.6% and Site Q2G is 10.2% vs 23.2%, driving fewer Site queue calls (16,486 vs 19,587) and net calls (15,599 vs 18,833) despite a stronger Site conversion rate (42.8% vs 40.9%). SERP is mixed—Q2G is better than plan (44.0% vs 38.9%) and queue/net supply are higher (17,911/15,887 vs 14,936/14,268), but abandonment is elevated at 11.3% vs 4.5% and conversion is slightly softer (25.0% vs 25.6%). Overall, total queue is roughly flat (34,397 vs 34,523) but total abandonment is 8.5% vs 4.1%, pulling total net calls down to 31,486 vs 33,101 and trimming overall conversion to 33.8% vs 34.3%. Phone VC is also under plan at 1.0% vs 1.4%.</w:t>
      </w:r>
    </w:p>
    <w:p/>
    <w:p>
      <w:r>
        <w:t>Some metrics suggest IVR/measurement friction rather than pure demand softness: Site Q2G is unusually low while SERP Q2G is above plan, consistent with early‑IVR filtering/bot breakage noted this month; separately, SERP abandonment at 11.3% vs 4.5% looks like staffing/latency pressure suppressing net pass‑through.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