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- 02_19_2026 (Thursday)</w:t>
      </w:r>
    </w:p>
    <w:p>
      <w:r>
        <w:t>Performance worsened versus the weekday baseline despite stable gross call volume. A surge in bot filtering within Compass lifted admissions but reduced real callers reaching agents, driving a drop in queue-to-gross and net calls. Down-funnel execution was steady with low abandonment and stable contact capture, but a weaker credit pass rate and slightly softer conversion limited order throughput. Revenue declined more than orders as per-order yield fell and mix shifted away from higher-value brands. Step-level behavior was uneven, with lighter early-step queueing but a pronounced spike at the ERCOT check. Several site-side admission anomalies and metric quirks mirrored recent days and suggest instrumentation or routing issues rather than pure demand shifts.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Higher bot filtering in Compass increased admissions but cut non-bot throughput, reducing queue and net calls.</w:t>
      </w:r>
    </w:p>
    <w:p>
      <w:pPr>
        <w:pStyle w:val="ListBullet"/>
      </w:pPr>
      <w:r>
        <w:t>[High] The ERCOT eligibility check exhibited a sharp queue spike while earlier steps eased, contributing to a weaker queue-to-gross rate.</w:t>
      </w:r>
    </w:p>
    <w:p>
      <w:pPr>
        <w:pStyle w:val="ListBullet"/>
      </w:pPr>
      <w:r>
        <w:t>[High] Credit penetration ticked up but the pass rate softened, nudging net conversion lower.</w:t>
      </w:r>
    </w:p>
    <w:p>
      <w:pPr>
        <w:pStyle w:val="ListBullet"/>
      </w:pPr>
      <w:r>
        <w:t>[Medium] Order mix shifted away from higher-yield TXU toward TEE, compressing revenue per order and amplifying revenue decline.</w:t>
      </w:r>
    </w:p>
    <w:p>
      <w:pPr>
        <w:pStyle w:val="ListBullet"/>
      </w:pPr>
      <w:r>
        <w:t>[Low] Abandonment remained minimal and contact capture steady, preventing larger losses down funnel.</w:t>
      </w:r>
    </w:p>
    <w:p>
      <w:pPr>
        <w:pStyle w:val="ListBullet"/>
      </w:pPr>
      <w:r>
        <w:t>[Medium] Revenue per call and per order both slipped as conversion eased and yield weakened.</w:t>
      </w:r>
    </w:p>
    <w:p>
      <w:pPr>
        <w:pStyle w:val="ListBullet"/>
      </w:pPr>
      <w:r>
        <w:t>[Medium] Site-side Compass admission by marketing bucket looked inconsistent with overall site trends, indicating likely logging or routing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