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- 02_23_2026 (Monday)</w:t>
      </w:r>
    </w:p>
    <w:p>
      <w:r>
        <w:t>Performance improved versus recent baseline, with higher throughput and revenue despite a leaner top of funnel. Increased queue exposure and low abandonment lifted queued and net calls, while overall conversion strengthened. Mix was slightly softer on per‑order yield even as revenue efficiency per gross and per net call improved. Notably, IVR admission telemetry failed to log while downstream signals indicate healthy initial filtering and stronger gating, suggesting a measurement or routing blackout rather than a behavior change. Down‑funnel execution was solid, with slight softness in contact capture offset by higher credit penetration and strong post‑credit conversion. Both Site and SERP contributed to net call growth and orders despite lower gross volumes, while month‑to‑date pacing remains behind plan due to early‑funnel deficits and modest efficiency drag.</w:t>
      </w:r>
    </w:p>
    <w:p>
      <w:pPr>
        <w:pStyle w:val="Heading2"/>
      </w:pPr>
      <w:r>
        <w:t>Callouts (with importance)</w:t>
      </w:r>
    </w:p>
    <w:p>
      <w:pPr>
        <w:pStyle w:val="ListBullet"/>
      </w:pPr>
      <w:r>
        <w:t>[High] An apparent IVR admission logging blackout decoupled gross from queue, yet downstream signals indicate healthy filtering and stronger gating.</w:t>
      </w:r>
    </w:p>
    <w:p>
      <w:pPr>
        <w:pStyle w:val="ListBullet"/>
      </w:pPr>
      <w:r>
        <w:t>[High] SERP scaled agent throughput and efficiency, driving outsized gains in net conversion, orders, and revenue.</w:t>
      </w:r>
    </w:p>
    <w:p>
      <w:pPr>
        <w:pStyle w:val="ListBullet"/>
      </w:pPr>
      <w:r>
        <w:t>[Medium] The Other bucket produced a sharp order surge at lower per‑order yield, materially lifting revenue per gross call.</w:t>
      </w:r>
    </w:p>
    <w:p>
      <w:pPr>
        <w:pStyle w:val="ListBullet"/>
      </w:pPr>
      <w:r>
        <w:t>[Medium] Queue abandonment remained very low, enabling steady agent processing and supporting revenue stability.</w:t>
      </w:r>
    </w:p>
    <w:p>
      <w:pPr>
        <w:pStyle w:val="ListBullet"/>
      </w:pPr>
      <w:r>
        <w:t>[Medium] Contact capture eased slightly while credit penetration improved and pass rate dipped modestly, with strong post‑credit conversion.</w:t>
      </w:r>
    </w:p>
    <w:p>
      <w:pPr>
        <w:pStyle w:val="ListBullet"/>
      </w:pPr>
      <w:r>
        <w:t>[High] Month‑to‑date results trail plan due to early‑funnel shortfalls on Site and slight efficiency underperformance rather than queue management.</w:t>
      </w:r>
    </w:p>
    <w:p>
      <w:pPr>
        <w:pStyle w:val="ListBullet"/>
      </w:pPr>
      <w:r>
        <w:t>[Low] Filtering likely reduced low‑intent or bot traffic to agents, improving queue quality despite a smaller top of funnel.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