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- 03_02_2026 (Monday)</w:t>
      </w:r>
    </w:p>
    <w:p>
      <w:r>
        <w:t>Overall performance was mixed versus the weekday baseline: volume expanded and queues grew, but abandonment surged, reducing agent exposure. Agent execution improved across contact, credit, and overall conversion, stabilizing orders despite fewer connects. Revenue declined as per-order yield softened on partner mix and heavier transfer intensity, compressing efficiency from the top of funnel. Queue pressure shifted to late Compass steps—especially the ERCOT eligibility check and address/name—concentrating waits and fueling abandonment even though early filters removed more noise. SERP delivered cleaner admitted traffic while Site supplied more volume with thinner agent-side efficiency. Notable anomalies include an impossible ratio in early funnel logging and signs of a routing/classification change alongside localized pockets of extreme abandonment.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Queue abandonment surged and became the dominant limiter of net calls and overall throughput.</w:t>
      </w:r>
    </w:p>
    <w:p>
      <w:pPr>
        <w:pStyle w:val="ListBullet"/>
      </w:pPr>
      <w:r>
        <w:t>[High] Queueing shifted downstream—especially at ERCOT eligibility and address/name steps—concentrating waits late in Compass and fueling drop-offs.</w:t>
      </w:r>
    </w:p>
    <w:p>
      <w:pPr>
        <w:pStyle w:val="ListBullet"/>
      </w:pPr>
      <w:r>
        <w:t>[Medium] Agent execution improved across contact capture, credit penetration, and close rates, offsetting some intake losses.</w:t>
      </w:r>
    </w:p>
    <w:p>
      <w:pPr>
        <w:pStyle w:val="ListBullet"/>
      </w:pPr>
      <w:r>
        <w:t>[High] Revenue pressure was driven by softer per-order yield due to partner mix shift and higher transfer intensity.</w:t>
      </w:r>
    </w:p>
    <w:p>
      <w:pPr>
        <w:pStyle w:val="ListBullet"/>
      </w:pPr>
      <w:r>
        <w:t>[Medium] SERP contributed cleaner admitted traffic while Site brought more volume with thinner agent-side efficiency.</w:t>
      </w:r>
    </w:p>
    <w:p>
      <w:pPr>
        <w:pStyle w:val="ListBullet"/>
      </w:pPr>
      <w:r>
        <w:t>[Low] Bot volume ticked up but was largely filtered at the initial question, improving early-stage noise control.</w:t>
      </w:r>
    </w:p>
    <w:p>
      <w:pPr>
        <w:pStyle w:val="ListBullet"/>
      </w:pPr>
      <w:r>
        <w:t>[High] Data quality flags emerged with an impossible early-funnel ratio and signs of routing/classification changes plus isolated pockets of extreme abandonment.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