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- 03_06_2026 (Friday)</w:t>
      </w:r>
    </w:p>
    <w:p>
      <w:r>
        <w:t>The day marked a clear step‑up versus recent weekdays, with higher intake and stronger agent conversion translating into more orders and revenue. Compass admissions expanded meaningfully, with effective bot filtering and larger non‑bot and initial‑pass cohorts feeding the queue and agent exposure. Queueing pressure shifted later in the flow and abandonment in queue rose, modestly capping how much of the intake surge reached agents. Credit penetration and outcomes improved, and post‑credit close rates strengthened, lifting overall conversion and monetization per call while per‑order yield remained stable. Mix leaned more toward SERP and branded than baseline, yet efficiency gains offset the typically lower intent of that mix. A few telemetry inconsistencies and logging gaps surfaced, echoing earlier‑week measurement flags, but the performance narrative remains throughput‑led and positive.</w:t>
      </w:r>
    </w:p>
    <w:p>
      <w:pPr>
        <w:pStyle w:val="Heading2"/>
      </w:pPr>
      <w:r>
        <w:t>Callouts (with importance)</w:t>
      </w:r>
    </w:p>
    <w:p>
      <w:pPr>
        <w:pStyle w:val="ListBullet"/>
      </w:pPr>
      <w:r>
        <w:t>[High] Compass admissions surged while early bot filtering worked as designed, expanding agent exposure.</w:t>
      </w:r>
    </w:p>
    <w:p>
      <w:pPr>
        <w:pStyle w:val="ListBullet"/>
      </w:pPr>
      <w:r>
        <w:t>[High] Queueing shifted to later IVR steps, elevating abandonment and slightly increasing queue load.</w:t>
      </w:r>
    </w:p>
    <w:p>
      <w:pPr>
        <w:pStyle w:val="ListBullet"/>
      </w:pPr>
      <w:r>
        <w:t>[High] Credit penetration and outcomes improved across both paths, lifting net conversion and monetization.</w:t>
      </w:r>
    </w:p>
    <w:p>
      <w:pPr>
        <w:pStyle w:val="ListBullet"/>
      </w:pPr>
      <w:r>
        <w:t>[Medium] Per‑order yield stayed roughly flat, so revenue gains were primarily throughput‑driven.</w:t>
      </w:r>
    </w:p>
    <w:p>
      <w:pPr>
        <w:pStyle w:val="ListBullet"/>
      </w:pPr>
      <w:r>
        <w:t>[Medium] SERP and branded mix increased, but efficiency gains offset the typically lower intent of that mix.</w:t>
      </w:r>
    </w:p>
    <w:p>
      <w:pPr>
        <w:pStyle w:val="ListBullet"/>
      </w:pPr>
      <w:r>
        <w:t>[Medium] Measurement inconsistencies and logging gaps appeared in several intake ratios, suggesting telemetry quirks.</w:t>
      </w:r>
    </w:p>
    <w:p>
      <w:pPr>
        <w:pStyle w:val="ListBullet"/>
      </w:pPr>
      <w:r>
        <w:t>[Low] Transfers were heavier but did not erode yield.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