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- 03_09_2026 (Monday)</w:t>
      </w:r>
    </w:p>
    <w:p>
      <w:r>
        <w:t>Yesterday delivered a throughput-led win even with a much thinner top of funnel. Strong Compass/IVR hygiene filtered bots early and reduced initial breakage, expanding queue exposure and agent connects. Down-funnel performance was steady, with abandonment near baseline and stronger post-credit close offsetting softer credit penetration, keeping net conversion stable. Orders and revenue rose on higher net volume, while yield per order and per-net softened, and revenue per gross improved, reflecting mix. Channel mix tilted toward SERP and branded while Site/Natural receded, improving admissions quality but applying some pressure to downstream efficiency. A few telemetry anomalies and an ERCOT-stage wobble were noted, broadly consistent with recent quirks observed earlier in the week.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Improved bot filtering and lower early breakage lifted queue exposure and net calls despite a leaner intake.</w:t>
      </w:r>
    </w:p>
    <w:p>
      <w:pPr>
        <w:pStyle w:val="ListBullet"/>
      </w:pPr>
      <w:r>
        <w:t>[Medium] Yield mix was mixed, with revenue per gross call improving while per-net and per-order eased.</w:t>
      </w:r>
    </w:p>
    <w:p>
      <w:pPr>
        <w:pStyle w:val="ListBullet"/>
      </w:pPr>
      <w:r>
        <w:t>[High] Channel mix shifted toward SERP and branded and away from Site/Natural, boosting admissions but pressuring agent efficiency.</w:t>
      </w:r>
    </w:p>
    <w:p>
      <w:pPr>
        <w:pStyle w:val="ListBullet"/>
      </w:pPr>
      <w:r>
        <w:t>[Medium] Queueing increased at later Compass steps such as Address and ERCOT with a slight breakage uptick, yet abandonment stayed near baseline.</w:t>
      </w:r>
    </w:p>
    <w:p>
      <w:pPr>
        <w:pStyle w:val="ListBullet"/>
      </w:pPr>
      <w:r>
        <w:t>[Medium] Post-credit close strengthened and offset softer credit penetration to keep overall conversion steady.</w:t>
      </w:r>
    </w:p>
    <w:p>
      <w:pPr>
        <w:pStyle w:val="ListBullet"/>
      </w:pPr>
      <w:r>
        <w:t>[High] Telemetry anomalies persisted, including impossible queue ratios and a collapse in reported non-bot conversion, suggesting logging or denominator issues.</w:t>
      </w:r>
    </w:p>
    <w:p>
      <w:pPr>
        <w:pStyle w:val="ListBullet"/>
      </w:pPr>
      <w:r>
        <w:t>[Medium] ERCOT check breakage spiked in several areas and warrants monitoring for latency or matching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