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- 03_16_2026 (Monday)</w:t>
      </w:r>
    </w:p>
    <w:p>
      <w:r>
        <w:t>Overall performance declined versus the weekday baseline, with softer intake, thinner admissions, and lower agent exposure driving weaker monetization. The most significant headwinds were concentrated on Site, where early IVR breakage rose and both admissions and Q2G fell sharply, and in Natural, where initial‑question breakage spiked and Q2G collapsed. Down-funnel pressure intensified as queue abandonment rose and agent execution softened, particularly with a notable drop in credit-run propensity despite a slightly higher pass rate. SERP was comparatively steadier with a modest Q2G lift, but it was insufficient to offset the shortfalls elsewhere. Per-order economics held essentially flat, confirming that the shortfall was throughput- and conversion-driven rather than yield-driven. A few anomalies emerged, including unusual routing and abandonment patterns in smaller buckets and irregular outcomes on select low-volume paid programs, warranting validation of IVR and queue logging.</w:t>
      </w:r>
    </w:p>
    <w:p>
      <w:pPr>
        <w:pStyle w:val="Heading2"/>
      </w:pPr>
      <w:r>
        <w:t>Callouts (with importance)</w:t>
      </w:r>
    </w:p>
    <w:p>
      <w:pPr>
        <w:pStyle w:val="ListBullet"/>
      </w:pPr>
      <w:r>
        <w:t>[High] Site saw higher early IVR breakage and lower admissions, sharply reducing Q2G and agent exposure.</w:t>
      </w:r>
    </w:p>
    <w:p>
      <w:pPr>
        <w:pStyle w:val="ListBullet"/>
      </w:pPr>
      <w:r>
        <w:t>[High] Natural experienced a surge in initial-question breakage that collapsed Q2G and starved the funnel.</w:t>
      </w:r>
    </w:p>
    <w:p>
      <w:pPr>
        <w:pStyle w:val="ListBullet"/>
      </w:pPr>
      <w:r>
        <w:t>[High] Queue abandonment spiked, further constraining net calls and limiting downstream conversion.</w:t>
      </w:r>
    </w:p>
    <w:p>
      <w:pPr>
        <w:pStyle w:val="ListBullet"/>
      </w:pPr>
      <w:r>
        <w:t>[High] Agent credit-run propensity fell notably, shrinking pass-credit opportunities despite a slightly higher pass rate.</w:t>
      </w:r>
    </w:p>
    <w:p>
      <w:pPr>
        <w:pStyle w:val="ListBullet"/>
      </w:pPr>
      <w:r>
        <w:t>[Medium] SERP was comparatively stable with a modest Q2G lift that only partially offset top-of-funnel weakness elsewhere.</w:t>
      </w:r>
    </w:p>
    <w:p>
      <w:pPr>
        <w:pStyle w:val="ListBullet"/>
      </w:pPr>
      <w:r>
        <w:t>[Medium] Aggregator admissions and Q2G cratered on small volume, suggesting a potential IVR configuration issue.</w:t>
      </w:r>
    </w:p>
    <w:p>
      <w:pPr>
        <w:pStyle w:val="ListBullet"/>
      </w:pPr>
      <w:r>
        <w:t>[Medium] The Other bucket showed abnormal queue abandonment and routing signals, indicating possible misclassification or logging gaps.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