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- 03_17_2026 (Tuesday)</w:t>
      </w:r>
    </w:p>
    <w:p>
      <w:r>
        <w:t>Overall performance declined versus recent weekdays, with orders and revenue down while net call supply held roughly steady. The shortfall reflected both thinner intake and weaker agent-stage efficiency, as contact completion and credit-run execution slipped despite lower abandonment and stronger credit pass rates. Compass/IVR hygiene at the very top slightly improved, but mid-flow friction picked up at DOB and ERCOT and throughput around Name/Address collection weakened, limiting progression into queue. Mix and operational factors further compressed monetization, with heavier transfers and a tilt away from higher-yield components dragging revenue more than orders. SERP was the primary drag with sharper conversion compression and weaker intake quality, while a small tilt toward Site did not offset downstream softness. A few small-base anomalies and a spike in Name Collection queueing appeared, likely noise but worth a quick validation of routing and logging.</w:t>
      </w:r>
    </w:p>
    <w:p>
      <w:pPr>
        <w:pStyle w:val="Heading2"/>
      </w:pPr>
      <w:r>
        <w:t>Callouts (with importance)</w:t>
      </w:r>
    </w:p>
    <w:p>
      <w:pPr>
        <w:pStyle w:val="ListBullet"/>
      </w:pPr>
      <w:r>
        <w:t>[High] Agent contact completion and credit-run propensity fell across major channels, reducing conversion and orders.</w:t>
      </w:r>
    </w:p>
    <w:p>
      <w:pPr>
        <w:pStyle w:val="ListBullet"/>
      </w:pPr>
      <w:r>
        <w:t>[High] SERP saw the steepest conversion degradation amid softer Name/Address capture and higher ERCOT friction.</w:t>
      </w:r>
    </w:p>
    <w:p>
      <w:pPr>
        <w:pStyle w:val="ListBullet"/>
      </w:pPr>
      <w:r>
        <w:t>[Medium] Queue abandonment improved, partially offsetting leaner intake and helping keep net call exposure roughly flat.</w:t>
      </w:r>
    </w:p>
    <w:p>
      <w:pPr>
        <w:pStyle w:val="ListBullet"/>
      </w:pPr>
      <w:r>
        <w:t>[High] Revenue yield deteriorated as transfer rates rose and mix shifted toward lower-value outcomes, pulling monetization per interaction down.</w:t>
      </w:r>
    </w:p>
    <w:p>
      <w:pPr>
        <w:pStyle w:val="ListBullet"/>
      </w:pPr>
      <w:r>
        <w:t>[Medium] Compass top-of-funnel hygiene improved while mid-IVR steps (DOB and ERCOT) experienced elevated breakage that constrained throughput.</w:t>
      </w:r>
    </w:p>
    <w:p>
      <w:pPr>
        <w:pStyle w:val="ListBullet"/>
      </w:pPr>
      <w:r>
        <w:t>[Medium] Generic was a relative bright spot with stronger queue exposure, while Aggregator and Brand Partner softened.</w:t>
      </w:r>
    </w:p>
    <w:p>
      <w:pPr>
        <w:pStyle w:val="ListBullet"/>
      </w:pPr>
      <w:r>
        <w:t>[Low] Small-base anomalies (PMax efficiency spike, NRG outperformance, and unusual Name Collection queueing) suggest statistical or logging noise to monitor.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