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Summary - 03_18_2026 (Wednesday)</w:t>
      </w:r>
    </w:p>
    <w:p>
      <w:r>
        <w:t>Performance stepped down versus recent weekdays, driven by thinner intake and softer agent execution. Compass improved top-of-funnel hygiene and pushed a greater share toward agents, but overall queue and net exposure still declined and conversion eased. Yield was mixed—per-gross improved on tighter filtering, while per-net and per-order monetization slipped amid a heavier transfer mix and lower-value outcomes. Mid-IVR friction rose around DOB and identity steps, offsetting gains from lower bot share and cleaner initial routing. Down-funnel, slightly better abandonment was outweighed by weaker contact completion and credit-run propensity, reducing orders and revenue. A few anomalous pockets appeared in a paid channel and select utility steps, but the broader pattern echoes recent days of constrained supply and execution drag.</w:t>
      </w:r>
    </w:p>
    <w:p>
      <w:pPr>
        <w:pStyle w:val="Heading2"/>
      </w:pPr>
      <w:r>
        <w:t>Callouts (with importance)</w:t>
      </w:r>
    </w:p>
    <w:p>
      <w:pPr>
        <w:pStyle w:val="ListBullet"/>
      </w:pPr>
      <w:r>
        <w:t>[High] Gross call supply contracted sharply, led by Site and Natural, capping downstream exposure.</w:t>
      </w:r>
    </w:p>
    <w:p>
      <w:pPr>
        <w:pStyle w:val="ListBullet"/>
      </w:pPr>
      <w:r>
        <w:t>[High] Agent-stage softness—lower contact completion and credit-run propensity—compressed net conversion and orders.</w:t>
      </w:r>
    </w:p>
    <w:p>
      <w:pPr>
        <w:pStyle w:val="ListBullet"/>
      </w:pPr>
      <w:r>
        <w:t>[High] Transfer rates shifted toward lower-yield paths, pressuring revenue per net and per order.</w:t>
      </w:r>
    </w:p>
    <w:p>
      <w:pPr>
        <w:pStyle w:val="ListBullet"/>
      </w:pPr>
      <w:r>
        <w:t>[Medium] Compass reduced bot share and improved admissions, lifting queue-to-gross despite weaker volume.</w:t>
      </w:r>
    </w:p>
    <w:p>
      <w:pPr>
        <w:pStyle w:val="ListBullet"/>
      </w:pPr>
      <w:r>
        <w:t>[Medium] Mid-IVR friction increased, with elevated DOB breakage and more queueing at Name and Address steps.</w:t>
      </w:r>
    </w:p>
    <w:p>
      <w:pPr>
        <w:pStyle w:val="ListBullet"/>
      </w:pPr>
      <w:r>
        <w:t>[Low] Abandonment improved modestly, offering limited relief against broader headwinds.</w:t>
      </w:r>
    </w:p>
    <w:p>
      <w:pPr>
        <w:pStyle w:val="ListBullet"/>
      </w:pPr>
      <w:r>
        <w:t>[Medium] SERP experienced higher IVR friction while Site volumes were lighter, contributing to mix-driven yield drag.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