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- 03_19_2026 (Thursday)</w:t>
      </w:r>
    </w:p>
    <w:p>
      <w:r>
        <w:t>Overall performance stepped down versus the recent weekday baseline. Intake contracted across Site and SERP, with a steeper SERP decline, shrinking queue exposure and net supply. A higher bot share and increased early breakage at the initial question further compressed progression to queue, despite some later-step improvements. Down-funnel, queue abandonment improved, but softer contact completion and credit-run propensity—especially on Site—reduced conversion and per-net yield. Per-order monetization held modestly above baseline, but lighter Aggregator and Brand demand added pressure on exposure and conversion. Notable anomalies included a sharp PMax pullback, outsized Generic underperformance, and utility-related spikes likely tied to misrouted traffic, while month-to-date pacing remains behind plan primarily due to elevated abandonment.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Bot rate increased materially, reducing human supply and inflating early Compass entries with low-quality traffic.</w:t>
      </w:r>
    </w:p>
    <w:p>
      <w:pPr>
        <w:pStyle w:val="ListBullet"/>
      </w:pPr>
      <w:r>
        <w:t>[High] Initial-question breakage rose, pushing pass-through to queue lower even as queue abandonment improved.</w:t>
      </w:r>
    </w:p>
    <w:p>
      <w:pPr>
        <w:pStyle w:val="ListBullet"/>
      </w:pPr>
      <w:r>
        <w:t>[High] Intake declined on both Site and SERP, with SERP falling more steeply and Site exhibiting added DOB friction.</w:t>
      </w:r>
    </w:p>
    <w:p>
      <w:pPr>
        <w:pStyle w:val="ListBullet"/>
      </w:pPr>
      <w:r>
        <w:t>[High] Early-agent execution softened at contact and credit—most notably on Site—pulling net conversion down.</w:t>
      </w:r>
    </w:p>
    <w:p>
      <w:pPr>
        <w:pStyle w:val="ListBullet"/>
      </w:pPr>
      <w:r>
        <w:t>[Medium] A heavier transfer mix nudged per-net yield down while per-order monetization held slightly above baseline.</w:t>
      </w:r>
    </w:p>
    <w:p>
      <w:pPr>
        <w:pStyle w:val="ListBullet"/>
      </w:pPr>
      <w:r>
        <w:t>[Medium] Aggregator and Brand demand were notably lighter than baseline, dampening exposure and conversion.</w:t>
      </w:r>
    </w:p>
    <w:p>
      <w:pPr>
        <w:pStyle w:val="ListBullet"/>
      </w:pPr>
      <w:r>
        <w:t>[Low] Anomalies emerged with a sharp PMax pullback, acute Generic softness, and small-volume Utility/NRG spikes suggestive of routing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