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- 03_20_2026 (Friday)</w:t>
      </w:r>
    </w:p>
    <w:p>
      <w:r>
        <w:t>Performance worsened versus recent weekday norms, with softness from the top of the funnel through revenue. Non-bot supply contracted as bot mix rose, and higher early-IVR breakage at the initial question and ZIP reduced pass-through to queue. While queue abandonment improved, agent-stage execution softened with weaker contact and credit-run rates and a heavier transfer mix, pressuring conversion and yield. Both Site and SERP intakes declined, with Aggregator and Brand-Partner particularly light, and Natural remained sizable but with fewer human callers. Per-order monetization held steady, but fewer and lower-yield net opportunities drove orders and revenue down. Patterns align with recent IVR friction, with a few anomalies suggesting potential measurement or routing issues.</w:t>
      </w:r>
    </w:p>
    <w:p>
      <w:pPr>
        <w:pStyle w:val="Heading2"/>
      </w:pPr>
      <w:r>
        <w:t>Callouts (with importance)</w:t>
      </w:r>
    </w:p>
    <w:p>
      <w:pPr>
        <w:pStyle w:val="ListBullet"/>
      </w:pPr>
      <w:r>
        <w:t>[High] Bot mix increased materially, shrinking non-bot supply and limiting queue and net exposure.</w:t>
      </w:r>
    </w:p>
    <w:p>
      <w:pPr>
        <w:pStyle w:val="ListBullet"/>
      </w:pPr>
      <w:r>
        <w:t>[High] Early-IVR breakage at the initial question and ZIP rose, depressing pass-through to queue and agents.</w:t>
      </w:r>
    </w:p>
    <w:p>
      <w:pPr>
        <w:pStyle w:val="ListBullet"/>
      </w:pPr>
      <w:r>
        <w:t>[Medium] Queue abandonment improved, but weaker agent contact and credit-run rates more than offset the gain.</w:t>
      </w:r>
    </w:p>
    <w:p>
      <w:pPr>
        <w:pStyle w:val="ListBullet"/>
      </w:pPr>
      <w:r>
        <w:t>[High] Heavier transfer mix pressured revenue per net call and overall yield even with stable per-order monetization.</w:t>
      </w:r>
    </w:p>
    <w:p>
      <w:pPr>
        <w:pStyle w:val="ListBullet"/>
      </w:pPr>
      <w:r>
        <w:t>[Medium] Site and SERP intake fell, with Site mid-step completion softer and SERP pass-through slightly better on a smaller base.</w:t>
      </w:r>
    </w:p>
    <w:p>
      <w:pPr>
        <w:pStyle w:val="ListBullet"/>
      </w:pPr>
      <w:r>
        <w:t>[Medium] Brand-Partner conversion compressed and Aggregator supply remained thin, reducing high-quality net opportunities.</w:t>
      </w:r>
    </w:p>
    <w:p>
      <w:pPr>
        <w:pStyle w:val="ListBullet"/>
      </w:pPr>
      <w:r>
        <w:t>[Low] The “Other” bucket surged at entry but stalled immediately after the first IVR screen, suggesting a measurement or routing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