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- 03_22_2026 (Sunday)</w:t>
      </w:r>
    </w:p>
    <w:p>
      <w:r>
        <w:t>Performance declined versus recent weekday norms, driven by reduced human supply at the top of the funnel and weaker pass-through into queue. A spike in bot filtering at the initial Compass question increased breakage and shrank non-bot entries, with added early-IVR friction compounding losses. Site was hit hardest while SERP also stepped down, though less sharply. Despite materially better abandonment and stronger post-credit close, slightly softer early-agent execution left overall net conversion roughly stable. Per-net and per-order yield ticked up but could not offset the exposure drag, pulling orders and revenue below baseline. Notable anomalies included a surge of likely bots in the Other bucket and heightened first-question friction in Natural and PMax, consistent with the broader early-IVR filtering pattern.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Initial Compass bot filtering spiked, lifting first-question breakage and cutting non-bot supply to queue.</w:t>
      </w:r>
    </w:p>
    <w:p>
      <w:pPr>
        <w:pStyle w:val="ListBullet"/>
      </w:pPr>
      <w:r>
        <w:t>[High] Site absorbed the sharpest early-IVR friction with weaker pass-through from the initial question to queue.</w:t>
      </w:r>
    </w:p>
    <w:p>
      <w:pPr>
        <w:pStyle w:val="ListBullet"/>
      </w:pPr>
      <w:r>
        <w:t>[Medium] SERP stepped down more modestly than Site but still reduced queue and net exposure.</w:t>
      </w:r>
    </w:p>
    <w:p>
      <w:pPr>
        <w:pStyle w:val="ListBullet"/>
      </w:pPr>
      <w:r>
        <w:t>[High] Brand-Partner softness in both volume and conversion drove most of the order and revenue decline.</w:t>
      </w:r>
    </w:p>
    <w:p>
      <w:pPr>
        <w:pStyle w:val="ListBullet"/>
      </w:pPr>
      <w:r>
        <w:t>[Medium] Agent abandonment improved meaningfully, but slightly lower contact and credit-run rates limited gains.</w:t>
      </w:r>
    </w:p>
    <w:p>
      <w:pPr>
        <w:pStyle w:val="ListBullet"/>
      </w:pPr>
      <w:r>
        <w:t>[Medium] Per-net monetization rose as transfer rate eased, yet yield gains could not offset reduced exposure.</w:t>
      </w:r>
    </w:p>
    <w:p>
      <w:pPr>
        <w:pStyle w:val="ListBullet"/>
      </w:pPr>
      <w:r>
        <w:t>[Medium] The Other segment saw a surge of likely bots entering IVR but failing to progress, suggesting misrouted or low-quality traffic.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