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- 03_23_2026 (Monday)</w:t>
      </w:r>
    </w:p>
    <w:p>
      <w:r>
        <w:t>Overall performance declined versus recent weekday norms, with orders and revenue down despite higher gross volume. Heavier bot filtering and increased breakage at the initial IVR step sharply reduced non-bot supply and queue formation. The Site channel was the primary drag as pass-through to queue deteriorated significantly, while SERP remained comparatively steady with healthier conversion. Mix shifted toward Natural, which surged in volume but generated little agent exposure or orders, pulling down gross conversion and yield. Downstream dynamics were mixed: abandonment improved and post-credit closing strengthened, but credit runs and pass rates softened, limiting gains. Notable anomalies included elevated ERCOT check breakage in some channels and odd step metrics in a small bucket, broadly consistent with recent early‑IVR friction.</w:t>
      </w:r>
    </w:p>
    <w:p>
      <w:pPr>
        <w:pStyle w:val="Heading2"/>
      </w:pPr>
      <w:r>
        <w:t>Callouts (with importance)</w:t>
      </w:r>
    </w:p>
    <w:p>
      <w:pPr>
        <w:pStyle w:val="ListBullet"/>
      </w:pPr>
      <w:r>
        <w:t>[High] Bot mix spiked and the initial IVR question broke more often, shrinking human supply into queue.</w:t>
      </w:r>
    </w:p>
    <w:p>
      <w:pPr>
        <w:pStyle w:val="ListBullet"/>
      </w:pPr>
      <w:r>
        <w:t>[High] Site volume increased but pass-through to queue collapsed, driving the exposure and revenue shortfall.</w:t>
      </w:r>
    </w:p>
    <w:p>
      <w:pPr>
        <w:pStyle w:val="ListBullet"/>
      </w:pPr>
      <w:r>
        <w:t>[High] Natural volume surged but remained low-yield, dragging down gross conversion and overall yield.</w:t>
      </w:r>
    </w:p>
    <w:p>
      <w:pPr>
        <w:pStyle w:val="ListBullet"/>
      </w:pPr>
      <w:r>
        <w:t>[Medium] SERP was comparatively resilient with steadier net volume and stronger conversion than other channels.</w:t>
      </w:r>
    </w:p>
    <w:p>
      <w:pPr>
        <w:pStyle w:val="ListBullet"/>
      </w:pPr>
      <w:r>
        <w:t>[Medium] Abandonment improved materially, partially cushioning the queue deficit.</w:t>
      </w:r>
    </w:p>
    <w:p>
      <w:pPr>
        <w:pStyle w:val="ListBullet"/>
      </w:pPr>
      <w:r>
        <w:t>[Medium] Agent execution was mixed with solid contact and stronger post-credit closes but weaker credit runs and pass rates.</w:t>
      </w:r>
    </w:p>
    <w:p>
      <w:pPr>
        <w:pStyle w:val="ListBullet"/>
      </w:pPr>
      <w:r>
        <w:t>[Medium] ERCOT check breakage jumped in SERP and Brand-Partner, suggesting a process or data issue worth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