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- 03_24_2026 (Tuesday)</w:t>
      </w:r>
    </w:p>
    <w:p>
      <w:r>
        <w:t>Overall performance trended worse than recent weekday norms, with fewer orders and lower revenue per interaction. The primary drag was the Site channel, where higher bot filtering and early IVR friction suppressed queue formation and carried through to softer agent execution. SERP was comparatively steadier and gained mix, but elevated ERCOT friction limited its ability to offset Site weakness. On the net side, abandonment improved, yet contact, credit-run, and pass-credit rates slipped, lowering net conversion and yield. Provider mix shifted away from higher-yield options, further compressing revenue quality. Anomalies in certain paid and Other IVR buckets, plus rising ZIP and ERCOT breakage, point to misrouting or botty traffic rather than pure demand softness, and month-to-date pacing remains behind plan with the shortfall concentrated pre-agent on Site.</w:t>
      </w:r>
    </w:p>
    <w:p>
      <w:pPr>
        <w:pStyle w:val="Heading2"/>
      </w:pPr>
      <w:r>
        <w:t>Callouts (with importance)</w:t>
      </w:r>
    </w:p>
    <w:p>
      <w:pPr>
        <w:pStyle w:val="ListBullet"/>
      </w:pPr>
      <w:r>
        <w:t>[High] Bot filtering increased and first-question breakage rose, cutting human entries and queue formation.</w:t>
      </w:r>
    </w:p>
    <w:p>
      <w:pPr>
        <w:pStyle w:val="ListBullet"/>
      </w:pPr>
      <w:r>
        <w:t>[High] Site channel underperformed with weaker pass-through to queue and softer agent execution, driving most of the decline.</w:t>
      </w:r>
    </w:p>
    <w:p>
      <w:pPr>
        <w:pStyle w:val="ListBullet"/>
      </w:pPr>
      <w:r>
        <w:t>[Medium] SERP held relatively stable and gained share, but elevated ERCOT friction limited its ability to offset losses.</w:t>
      </w:r>
    </w:p>
    <w:p>
      <w:pPr>
        <w:pStyle w:val="ListBullet"/>
      </w:pPr>
      <w:r>
        <w:t>[High] Abandonment in queue improved, yet contact, credit-run, and pass-credit rates dropped, pulling down net conversion.</w:t>
      </w:r>
    </w:p>
    <w:p>
      <w:pPr>
        <w:pStyle w:val="ListBullet"/>
      </w:pPr>
      <w:r>
        <w:t>[Medium] Provider mix shifted away from higher-yield partners, compressing revenue per order and per net call.</w:t>
      </w:r>
    </w:p>
    <w:p>
      <w:pPr>
        <w:pStyle w:val="ListBullet"/>
      </w:pPr>
      <w:r>
        <w:t>[Medium] PMax and Other IVR buckets exhibited abnormal ERCOT and name-collection behavior consistent with misrouted or botty traffic.</w:t>
      </w:r>
    </w:p>
    <w:p>
      <w:pPr>
        <w:pStyle w:val="ListBullet"/>
      </w:pPr>
      <w:r>
        <w:t>[High] Month-to-date is behind plan, concentrated in pre-agent Site pass-through, while elevated SERP abandonment is muting its upside.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