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- 03_25_2026 (Wednesday)</w:t>
      </w:r>
    </w:p>
    <w:p>
      <w:r>
        <w:t>Performance declined versus recent weekday norms, with lower gross volume flowing through to fewer queues, net calls, and orders. Revenue fell faster than orders due to yield compression, driven by a less favorable provider mix and softer credit quality. IVR signals were mixed: more callers reached the menu, but higher bot filtering and added friction at early steps reduced human pass-through. Site carried most of the early-IVR drag, while SERP showed healthier step rates and lower bot mix but lacked the scale to compensate. Downstream, higher abandonment and weaker early-agent contact weighed on pass-through, though late-funnel closes showed some resilience. A handful of small-bucket anomalies and elevated queue hang-ups in select channels suggest operational or measurement pockets rather than pure demand shifts.</w:t>
      </w:r>
    </w:p>
    <w:p>
      <w:pPr>
        <w:pStyle w:val="Heading2"/>
      </w:pPr>
      <w:r>
        <w:t>Callouts (with importance)</w:t>
      </w:r>
    </w:p>
    <w:p>
      <w:pPr>
        <w:pStyle w:val="ListBullet"/>
      </w:pPr>
      <w:r>
        <w:t>[High] Volume contracted primarily on Site and Brand-Partner traffic, shrinking exposure and cascading to fewer queues and orders.</w:t>
      </w:r>
    </w:p>
    <w:p>
      <w:pPr>
        <w:pStyle w:val="ListBullet"/>
      </w:pPr>
      <w:r>
        <w:t>[High] Despite stronger Compass entry, increased bot filtering and early‑IVR friction—especially at ZIP—curtailed non‑bot pass‑through.</w:t>
      </w:r>
    </w:p>
    <w:p>
      <w:pPr>
        <w:pStyle w:val="ListBullet"/>
      </w:pPr>
      <w:r>
        <w:t>[High] Credit pass deterioration was the largest drag on conversion and revenue quality, overwhelming late‑funnel close gains.</w:t>
      </w:r>
    </w:p>
    <w:p>
      <w:pPr>
        <w:pStyle w:val="ListBullet"/>
      </w:pPr>
      <w:r>
        <w:t>[High] Provider mix shifted away from higher‑yield partners toward lower‑yield options, compressing per‑order and per‑interaction revenue.</w:t>
      </w:r>
    </w:p>
    <w:p>
      <w:pPr>
        <w:pStyle w:val="ListBullet"/>
      </w:pPr>
      <w:r>
        <w:t>[Medium] Queue abandonment worsened and early‑agent contact softened, reducing net pass‑through despite isolated step improvements.</w:t>
      </w:r>
    </w:p>
    <w:p>
      <w:pPr>
        <w:pStyle w:val="ListBullet"/>
      </w:pPr>
      <w:r>
        <w:t>[Medium] SERP maintained healthier step rates and lower bot mix but lacked the scale to offset Site shortfalls.</w:t>
      </w:r>
    </w:p>
    <w:p>
      <w:pPr>
        <w:pStyle w:val="ListBullet"/>
      </w:pPr>
      <w:r>
        <w:t>[Low] Small‑bucket anomalies emerged, including a PMax bot spike, unusual Name and ZIP breakage, elevated failed‑credit closes, and higher Brand‑Partner queue hang‑ups.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