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- 02_02_2026 (Monday)</w:t>
      </w:r>
    </w:p>
    <w:p>
      <w:r>
        <w:t>Overall performance was mixed but net positive, as revenue and orders rose despite a noticeable decline in gross call volume. The primary upstream driver was a reduction in bot-labeled calls that fed a surge of non-bot Compass traffic into the agent queue, producing more live opportunities. Rising queue volumes and higher hang-ups introduced operational friction that could erode conversion if not addressed. Downstream collection steps including address and credit checks showed elevated queue exposure, which pressured net conversion efficiency. A shift in marketing bucket mix concentrated higher-value interactions and helped lift revenue per order even as top-of-funnel counts fell. Priority actions are to preserve IVR filtering while reducing queue friction and monitoring credit-check subflows to sustain the revenue trajectory.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A sharp drop in bot-labeled calls produced a large rise in non-bot Compass traffic.</w:t>
      </w:r>
    </w:p>
    <w:p>
      <w:pPr>
        <w:pStyle w:val="ListBullet"/>
      </w:pPr>
      <w:r>
        <w:t>[High] Queue volume increased substantially, driving a noticeable rise in hang-ups and operational risk.</w:t>
      </w:r>
    </w:p>
    <w:p>
      <w:pPr>
        <w:pStyle w:val="ListBullet"/>
      </w:pPr>
      <w:r>
        <w:t>[Medium] More callers reached agents and net-handled opportunities increased, fueling additional orders and revenue.</w:t>
      </w:r>
    </w:p>
    <w:p>
      <w:pPr>
        <w:pStyle w:val="ListBullet"/>
      </w:pPr>
      <w:r>
        <w:t>[Medium] Net conversion edged down while revenue per order improved, signaling stronger downstream monetization.</w:t>
      </w:r>
    </w:p>
    <w:p>
      <w:pPr>
        <w:pStyle w:val="ListBullet"/>
      </w:pPr>
      <w:r>
        <w:t>[Low] Address and credit-check collection steps saw elevated activity and higher queue exposure.</w:t>
      </w:r>
    </w:p>
    <w:p>
      <w:pPr>
        <w:pStyle w:val="ListBullet"/>
      </w:pPr>
      <w:r>
        <w:t>[Low] A small set of marketing buckets with lower gross volume delivered disproportionately high revenue per net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