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- 02_03_2026 (Tuesday)</w:t>
      </w:r>
    </w:p>
    <w:p>
      <w:r>
        <w:t>Yesterday delivered a mixed result with stronger top-of-funnel volume and headline revenue but softer downstream efficiency. The primary drivers were a marked drop in bot filtering that allowed many more non-bot Compass calls through and a concentration of gross call growth in branded and natural marketing buckets. Those shifts increased queue entries and net call throughput, which lifted total orders and revenue. Beneath the surface, conversion efficiency declined across non-bot Compass and net-level steps, weakening per-call economics. IVR health was uneven with fewer apparent bots, inconsistent breakage across ZIP/DOB and checkpoint steps, and higher queue abandonment under the heavier load. Recommend a focused review of conversion performance in the large natural-volume cohort and close monitoring of queue hang-ups to lock in top-of-funnel gains.</w:t>
      </w:r>
    </w:p>
    <w:p>
      <w:pPr>
        <w:pStyle w:val="Heading2"/>
      </w:pPr>
      <w:r>
        <w:t>Callouts (with importance)</w:t>
      </w:r>
    </w:p>
    <w:p>
      <w:pPr>
        <w:pStyle w:val="ListBullet"/>
      </w:pPr>
      <w:r>
        <w:t>[High] Any-bot filtering dropped sharply, producing a surge in non-bot Compass calls.</w:t>
      </w:r>
    </w:p>
    <w:p>
      <w:pPr>
        <w:pStyle w:val="ListBullet"/>
      </w:pPr>
      <w:r>
        <w:t>[High] Queue-to-gross improved, driving higher net call throughput into agents.</w:t>
      </w:r>
    </w:p>
    <w:p>
      <w:pPr>
        <w:pStyle w:val="ListBullet"/>
      </w:pPr>
      <w:r>
        <w:t>[Medium] Conversion rates for non-bot Compass calls and overall net conversion softened, reducing per-call yield.</w:t>
      </w:r>
    </w:p>
    <w:p>
      <w:pPr>
        <w:pStyle w:val="ListBullet"/>
      </w:pPr>
      <w:r>
        <w:t>[Medium] Abandonment in queue increased, indicating more hang-ups under higher load.</w:t>
      </w:r>
    </w:p>
    <w:p>
      <w:pPr>
        <w:pStyle w:val="ListBullet"/>
      </w:pPr>
      <w:r>
        <w:t>[Low] ZIP and DOB collection steps showed uneven breakage with higher queue share.</w:t>
      </w:r>
    </w:p>
    <w:p>
      <w:pPr>
        <w:pStyle w:val="ListBullet"/>
      </w:pPr>
      <w:r>
        <w:t>[Low] The large natural-volume marketing bucket accounted for an outsized share of new non-bot traffic, suggesting reclassification or channel shift.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