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- 02_04_2026 (Wednesday)</w:t>
      </w:r>
    </w:p>
    <w:p>
      <w:r>
        <w:t>Performance was mixed-to-softer versus the weekday baseline as modest call volume gains were outweighed by weaker efficiency. Net conversion declined and gross conversion slipped, pulling down orders and revenue despite a small uplift in revenue per order. Per-call economics compressed, with both revenue per gross call and revenue per net call lower, partially offset by the revenue-per-order improvement. Compass admitted more non-bot traffic as bot filtering eased, but these callers showed lower intent, depressing non-bot Compass and downstream conversion. Operationally, initial-question breakage spiked and queue exposure rose at ZIP and ERCOT, though overall queueing stayed near baseline and abandonment remained minimal. Month-to-date, results trail plan due to upper-funnel capture and queue-to-gross headwinds and higher abandonment, while overall conversion is roughly on plan with Site firmer and SERP softer.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Net conversion fell despite slightly higher net calls, reducing orders and per-call yield.</w:t>
      </w:r>
    </w:p>
    <w:p>
      <w:pPr>
        <w:pStyle w:val="ListBullet"/>
      </w:pPr>
      <w:r>
        <w:t>[High] Bot rate eased and entered-Compass rose, but non-bot Compass conversion deteriorated, diluting efficiency.</w:t>
      </w:r>
    </w:p>
    <w:p>
      <w:pPr>
        <w:pStyle w:val="ListBullet"/>
      </w:pPr>
      <w:r>
        <w:t>[Medium] Initial-question breakage spiked across cohorts, suggesting prompt or ASR friction.</w:t>
      </w:r>
    </w:p>
    <w:p>
      <w:pPr>
        <w:pStyle w:val="ListBullet"/>
      </w:pPr>
      <w:r>
        <w:t>[Medium] Queue exposure increased at ZIP and ERCOT, but overall queue-to-gross remained slightly below baseline.</w:t>
      </w:r>
    </w:p>
    <w:p>
      <w:pPr>
        <w:pStyle w:val="ListBullet"/>
      </w:pPr>
      <w:r>
        <w:t>[High] SERP underperformed while Site carried more volume with softer conversion, worsening the channel mix.</w:t>
      </w:r>
    </w:p>
    <w:p>
      <w:pPr>
        <w:pStyle w:val="ListBullet"/>
      </w:pPr>
      <w:r>
        <w:t>[High] Aggregator, Generic, and Brand Partner buckets drove the shortfall with weaker non-bot and net conversion.</w:t>
      </w:r>
    </w:p>
    <w:p>
      <w:pPr>
        <w:pStyle w:val="ListBullet"/>
      </w:pPr>
      <w:r>
        <w:t>[Medium] Abandonment stayed negligible, but the share of net calls reaching credit declined, adding to conversion drag.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