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- 02_05_2026 (Thursday)</w:t>
      </w:r>
    </w:p>
    <w:p>
      <w:r>
        <w:t>Overall performance softened versus the weekday baseline as higher call volume was offset by greater queue exposure and weaker conversion efficiency. Orders and revenue declined with lower per-call yields, only partially cushioned by a modest lift in revenue per order. Key drivers included Site calls bypassing Compass and flooding the queue, elevated friction at the initial IVR question (with added pressure at ZIP and Address), and reduced agent penetration to contact and credit. Although Compass admitted more real callers and bot labeling eased, conversion weakened both before agents and within the agent funnel, signaling quality and process drag across stages. Mix shifted toward heavier Site and growing Natural/Other cohorts, consistent with lower-intent patterns and similar softness observed recently. Notable anomalies included an ERCOT breakage spike, a small uptick in Generic queue abandonment, and signs of pre-queue filtering variability that may be distorting pacing reads.</w:t>
      </w:r>
    </w:p>
    <w:p>
      <w:pPr>
        <w:pStyle w:val="Heading2"/>
      </w:pPr>
      <w:r>
        <w:t>Callouts (with importance)</w:t>
      </w:r>
    </w:p>
    <w:p>
      <w:pPr>
        <w:pStyle w:val="ListBullet"/>
      </w:pPr>
      <w:r>
        <w:t>[High] Site traffic bypassed Compass and flooded the queue, degrading agent outcomes.</w:t>
      </w:r>
    </w:p>
    <w:p>
      <w:pPr>
        <w:pStyle w:val="ListBullet"/>
      </w:pPr>
      <w:r>
        <w:t>[High] Agent contact and credit penetration fell, compressing net conversion and throughput.</w:t>
      </w:r>
    </w:p>
    <w:p>
      <w:pPr>
        <w:pStyle w:val="ListBullet"/>
      </w:pPr>
      <w:r>
        <w:t>[High] Initial-question friction rose and early IVR queueing spiked, sending more unqualified callers to agents.</w:t>
      </w:r>
    </w:p>
    <w:p>
      <w:pPr>
        <w:pStyle w:val="ListBullet"/>
      </w:pPr>
      <w:r>
        <w:t>[Medium] Non-bot volume increased in Compass, but conversion weakened both pre-agent and with agents, reducing per-call yield.</w:t>
      </w:r>
    </w:p>
    <w:p>
      <w:pPr>
        <w:pStyle w:val="ListBullet"/>
      </w:pPr>
      <w:r>
        <w:t>[Medium] Mix shifted toward heavier Site and growing Natural/Other cohorts, diluting efficiency versus branded sources.</w:t>
      </w:r>
    </w:p>
    <w:p>
      <w:pPr>
        <w:pStyle w:val="ListBullet"/>
      </w:pPr>
      <w:r>
        <w:t>[Low] Queue abandonment stayed low but ticked up, with a small spike in the Generic cohort.</w:t>
      </w:r>
    </w:p>
    <w:p>
      <w:pPr>
        <w:pStyle w:val="ListBullet"/>
      </w:pPr>
      <w:r>
        <w:t>[Medium] ERCOT breakage spiked and pre-queue filtering variability emerged, indicating possible measurement or flow anomalies.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