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- 02_06_2026 (Friday)</w:t>
      </w:r>
    </w:p>
    <w:p>
      <w:r>
        <w:t>Overall performance worsened versus the weekday baseline despite a larger top of funnel. The primary driver was a breakdown in Compass admission at the initial question, with elevated bot labeling and more calls pushed to queue early. As a result, more low-context callers reached agents, eroding contact capture, credit penetration, conversion, and per-call yield. Channel mix intensified the drag, with heavier Site (especially Natural) and SERP volume where bot pressure and efficiency were weakest. Abandonment stayed low but edged up slightly, offering little offset to the broader efficiency decline. These patterns align with anomalies flagged earlier this week in early-step routing and measurement, which likely amplified the admission and mix gaps.</w:t>
      </w:r>
    </w:p>
    <w:p>
      <w:pPr>
        <w:pStyle w:val="Heading2"/>
      </w:pPr>
      <w:r>
        <w:t>Callouts (with importance)</w:t>
      </w:r>
    </w:p>
    <w:p>
      <w:pPr>
        <w:pStyle w:val="ListBullet"/>
      </w:pPr>
      <w:r>
        <w:t>[High] Compass admission collapsed at the initial question, with an early-queue surge and weaker initial-pass rates.</w:t>
      </w:r>
    </w:p>
    <w:p>
      <w:pPr>
        <w:pStyle w:val="ListBullet"/>
      </w:pPr>
      <w:r>
        <w:t>[High] Bot labeling rose notably, especially across Site/Natural and SERP, suppressing enrichment and downstream efficiency.</w:t>
      </w:r>
    </w:p>
    <w:p>
      <w:pPr>
        <w:pStyle w:val="ListBullet"/>
      </w:pPr>
      <w:r>
        <w:t>[Medium] Queue-to-gross rate eased but total queued calls rose due to larger volume and earlier queue exposure.</w:t>
      </w:r>
    </w:p>
    <w:p>
      <w:pPr>
        <w:pStyle w:val="ListBullet"/>
      </w:pPr>
      <w:r>
        <w:t>[High] Contact capture and credit penetration declined, pulling down net conversion and throughput.</w:t>
      </w:r>
    </w:p>
    <w:p>
      <w:pPr>
        <w:pStyle w:val="ListBullet"/>
      </w:pPr>
      <w:r>
        <w:t>[High] Per-call revenue compressed across gross and net bases, reducing total revenue despite more net calls.</w:t>
      </w:r>
    </w:p>
    <w:p>
      <w:pPr>
        <w:pStyle w:val="ListBullet"/>
      </w:pPr>
      <w:r>
        <w:t>[Medium] Abandonment remained low with a minor uptick, providing little relief to the overall decline.</w:t>
      </w:r>
    </w:p>
    <w:p>
      <w:pPr>
        <w:pStyle w:val="ListBullet"/>
      </w:pPr>
      <w:r>
        <w:t>[Medium] Measurement and routing anomalies at the initial Compass step and tiny-cohort artifacts likely distorted early-funnel metrics.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