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- 02_10_2026 (Tuesday)</w:t>
      </w:r>
    </w:p>
    <w:p>
      <w:r>
        <w:t>Performance was mixed but volume-led, with higher call volume lifting queue and net calls to drive more orders and revenue. Efficiency softened as conversion and per-call yields declined, so the upside came from scale rather than improved effectiveness. Top-of-funnel health improved as more real callers were admitted and the bot mix eased, though mid-IVR friction and elevated queue exposure reduced pre-agent quality. Down-funnel, abandonment stayed very low, but contact capture and credit penetration weakened, keeping net conversion under pressure even as passed-credit outcomes held steady. A notable anomaly persisted with Natural traffic showing no recorded Compass admission despite heavy volume, consistent with prior measurement issues, while other sources contributed incremental admission. These dynamics broadly align with recent patterns of early-funnel measurement noise and stable partner economics.</w:t>
      </w:r>
    </w:p>
    <w:p>
      <w:pPr>
        <w:pStyle w:val="Heading2"/>
      </w:pPr>
      <w:r>
        <w:t>Callouts (with importance)</w:t>
      </w:r>
    </w:p>
    <w:p>
      <w:pPr>
        <w:pStyle w:val="ListBullet"/>
      </w:pPr>
      <w:r>
        <w:t>[High] Qualified admissions improved and the bot mix eased in Compass, expanding agent-bound throughput.</w:t>
      </w:r>
    </w:p>
    <w:p>
      <w:pPr>
        <w:pStyle w:val="ListBullet"/>
      </w:pPr>
      <w:r>
        <w:t>[High] Mid-IVR friction increased with more callers hitting queue at ZIP and slightly higher address-step breakage, lowering pre-agent quality.</w:t>
      </w:r>
    </w:p>
    <w:p>
      <w:pPr>
        <w:pStyle w:val="ListBullet"/>
      </w:pPr>
      <w:r>
        <w:t>[High] Agent-stage softness in contact capture and credit runs pressured net conversion and revenue per net call.</w:t>
      </w:r>
    </w:p>
    <w:p>
      <w:pPr>
        <w:pStyle w:val="ListBullet"/>
      </w:pPr>
      <w:r>
        <w:t>[Medium] Abandonment remained very low, helping sustain order flow despite efficiency headwinds.</w:t>
      </w:r>
    </w:p>
    <w:p>
      <w:pPr>
        <w:pStyle w:val="ListBullet"/>
      </w:pPr>
      <w:r>
        <w:t>[Medium] Revenue per order held roughly flat while per-call yields declined, indicating margin compression rather than pricing gains.</w:t>
      </w:r>
    </w:p>
    <w:p>
      <w:pPr>
        <w:pStyle w:val="ListBullet"/>
      </w:pPr>
      <w:r>
        <w:t>[High] Natural traffic showed no recorded Compass admission despite strong volume, reinforcing an ongoing measurement or routing anomaly.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