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Summary - 01_30_2026 (Friday)</w:t>
      </w:r>
    </w:p>
    <w:p>
      <w:r>
        <w:t>Overall performance was better than normal with materially higher volume and revenue driven by partner and competitive channels. Compass experienced a pronounced intake increase and fewer bot interactions, allowing more calls to reach live handling while non-bot conversion dropped sharply. This divergence indicates a mix shift toward lower-intent or qualification-needing callers that expanded funnel volume but reduced conversion efficiency. Operational routing and agent execution generally held up as speed to agent and net contact rates improved despite larger queues and minimal abandonment. The net effect delivered healthy revenue, but the collapse in non-bot conversion is the primary anomaly requiring partner-level and early funnel root cause work. Recommended actions are to preserve the staffing and routing that sustained contact performance and to prioritize short investigations into partner mix and Compass qualification flows.</w:t>
      </w:r>
    </w:p>
    <w:p>
      <w:pPr>
        <w:pStyle w:val="Heading2"/>
      </w:pPr>
      <w:r>
        <w:t>Callouts (with importance)</w:t>
      </w:r>
    </w:p>
    <w:p>
      <w:pPr>
        <w:pStyle w:val="ListBullet"/>
      </w:pPr>
      <w:r>
        <w:t>[High] Compass intake surged while bot handling fell, increasing live-agent eligible volume.</w:t>
      </w:r>
    </w:p>
    <w:p>
      <w:pPr>
        <w:pStyle w:val="ListBullet"/>
      </w:pPr>
      <w:r>
        <w:t>[High] Non-bot Compass conversion collapsed, reducing conversion efficiency despite higher orders.</w:t>
      </w:r>
    </w:p>
    <w:p>
      <w:pPr>
        <w:pStyle w:val="ListBullet"/>
      </w:pPr>
      <w:r>
        <w:t>[Medium] Brand partner traffic drove the bulk of the volume and revenue lift while concentrating queue load.</w:t>
      </w:r>
    </w:p>
    <w:p>
      <w:pPr>
        <w:pStyle w:val="ListBullet"/>
      </w:pPr>
      <w:r>
        <w:t>[High] Speed to agent and net contact performance improved, indicating routing and agent execution held up under load.</w:t>
      </w:r>
    </w:p>
    <w:p>
      <w:pPr>
        <w:pStyle w:val="ListBullet"/>
      </w:pPr>
      <w:r>
        <w:t>[Medium] Natural channel conversion and revenue per net-call weakened and eroded some partner-driven gains.</w:t>
      </w:r>
    </w:p>
    <w:p>
      <w:pPr>
        <w:pStyle w:val="ListBullet"/>
      </w:pPr>
      <w:r>
        <w:t>[Low] Abandonment remained negligible even with higher queues, limiting short-term revenue leakage.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