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Today is generally better on top-line revenue but mixed through the funnel: gross calls are up (~6,600 vs baseline) and total revenue improved materially (≈$94.5K), but the quality and path-to-purchase signal is uneven. The lift is clearly driven by partner channels — Brand Partner and Competitor buckets show outsized increases in volume and revenue — while Natural underperformed, so retrieved context suggests a marketing/partner mix shift rather than a pure demand increase. More callers are entering Compass (entered rate materially higher) but Compass bot-handling fell, so more interactions are converting into non-bot handoffs to IVR/agents.</w:t>
      </w:r>
    </w:p>
    <w:p/>
    <w:p>
      <w:r>
        <w:t>On queueing and routing, Q2G ticked up modestly and queue volumes rose, with abandonment still very low, implying routing and IVR are absorbing the extra load. Conversion is the concern: gross conversion improved slightly but transactional conversion per entered call fell sharply (~43%), and net conversion at the overall level is not reported — pointing to weaker checkout efficiency or lower-intent traffic from partner streams. Revenue quality however looks OK at the order level — RPO is roughly stable and RPGC (revenue per gross call) is higher today — so the business captured dollars despite conversion strain. Action: prioritize quick triage of partner creative/landing intent and Compass routing (bot flows, ZIP/name collection breakage and ERCOT match behavior) to restore conversion efficiency while preserving the partner-driven revenue uplift.</w:t>
      </w:r>
    </w:p>
    <w:p/>
    <w:p/>
    <w:p>
      <w:r>
        <w:t>=== STEP-LEVEL DRIVERS ===</w:t>
      </w:r>
    </w:p>
    <w:p/>
    <w:p>
      <w:r>
        <w:t>1. Partner / brand volume spike (brand_partner &amp; other_bucket)</w:t>
      </w:r>
    </w:p>
    <w:p>
      <w:r>
        <w:t xml:space="preserve">   What happened: Brand_partner gross_calls rose ~43% (1281 vs 893 baseline) and other_bucket gross_calls rose ~34% (1200 vs 892 baseline), driving a large lift in entered-Compass volume from partner channels.</w:t>
      </w:r>
    </w:p>
    <w:p>
      <w:r>
        <w:t xml:space="preserve">   Impact: Lifted overall orders (+20%) and total revenue (+24%) but changed call mix toward more live/non-bot calls, increasing downstream operational load and revenue concentration by partner.</w:t>
      </w:r>
    </w:p>
    <w:p>
      <w:r>
        <w:t xml:space="preserve">   Next steps:</w:t>
      </w:r>
    </w:p>
    <w:p>
      <w:r>
        <w:t xml:space="preserve">     1) Quick: Pull last 24h partner IDs and campaign tags to confirm which partner(s) drove the spike.</w:t>
      </w:r>
    </w:p>
    <w:p>
      <w:r>
        <w:t xml:space="preserve">     2) Segment RPGC/RPO and revenue_per_order by partner to identify high/low quality sources.</w:t>
      </w:r>
    </w:p>
    <w:p>
      <w:r>
        <w:t xml:space="preserve">     3) If a partner promo is live, validate feed/landing page and confirm expected duration; coordinate with Partner Economics on expected yield.</w:t>
      </w:r>
    </w:p>
    <w:p>
      <w:r>
        <w:t xml:space="preserve">   Evidence: retrieved: TODAY_KPI_JSON (bucket_brand_partner and bucket_other_bucket show large increases in gross_calls, entered_compass, non_bot_compass_calls, and total_revenue)</w:t>
      </w:r>
    </w:p>
    <w:p/>
    <w:p>
      <w:r>
        <w:t>2. Sharp drop in Compass bot engagement (bot deflection down)</w:t>
      </w:r>
    </w:p>
    <w:p>
      <w:r>
        <w:t xml:space="preserve">   What happened: any_bot_call_rate_compass fell ~27.6% (0.455 vs 0.629 baseline) while non_bot_compass_calls increased ~79.8%, indicating fewer callers handled by bot flows and more routed to live/IVR.</w:t>
      </w:r>
    </w:p>
    <w:p>
      <w:r>
        <w:t xml:space="preserve">   Impact: Produced higher live/IVR volumes (ivr_completed_calls +31%) and queue load, contributing to lower transactional conversion rate and higher operational demand.</w:t>
      </w:r>
    </w:p>
    <w:p>
      <w:r>
        <w:t xml:space="preserve">   Next steps:</w:t>
      </w:r>
    </w:p>
    <w:p>
      <w:r>
        <w:t xml:space="preserve">     1) Quick: Check bot service health/logs and recent deployments for errors or rollback events in the last 24 hours.</w:t>
      </w:r>
    </w:p>
    <w:p>
      <w:r>
        <w:t xml:space="preserve">     2) Test key Compass bot intents end-to-end (CIContact/CICredit flows) to confirm NLU or API failures.</w:t>
      </w:r>
    </w:p>
    <w:p>
      <w:r>
        <w:t xml:space="preserve">     3) If no infra issue, compare traffic source mix (partner vs natural) to see if new callers are less likely to engage bots and adjust bot prompts/UX.</w:t>
      </w:r>
    </w:p>
    <w:p>
      <w:r>
        <w:t xml:space="preserve">   Evidence: retrieved: TODAY_KPI_JSON (any_bot_call_rate_compass down, non_bot_compass_calls_count and ivr_completed_calls up)</w:t>
      </w:r>
    </w:p>
    <w:p/>
    <w:p>
      <w:r>
        <w:t>3. Increased queueing / IVR→queue flow and slight rise in abandonment</w:t>
      </w:r>
    </w:p>
    <w:p>
      <w:r>
        <w:t xml:space="preserve">   What happened: Queue calls rose ~20% (1003 vs 836 baseline) and queue_to_ivr_rate increased ~16%, with ivr_completed_calls up and abandonment_rate more than doubling (though absolute % remains small).</w:t>
      </w:r>
    </w:p>
    <w:p>
      <w:r>
        <w:t xml:space="preserve">   Impact: Higher queue pressure correlated with a sharp drop in transactional_conversion_rate (-43%), likely reducing fast, bot-driven transactions and lowering Q2G efficiency.</w:t>
      </w:r>
    </w:p>
    <w:p>
      <w:r>
        <w:t xml:space="preserve">   Next steps:</w:t>
      </w:r>
    </w:p>
    <w:p>
      <w:r>
        <w:t xml:space="preserve">     1) Quick: Check real-time ACD metrics (average queue wait, longest wait, ASA) and agent staffing/overflow settings for the last 6–12 hours.</w:t>
      </w:r>
    </w:p>
    <w:p>
      <w:r>
        <w:t xml:space="preserve">     2) Validate IVR routing rules and recent changes to queue thresholds or skill-based routing that might increase queueing.</w:t>
      </w:r>
    </w:p>
    <w:p>
      <w:r>
        <w:t xml:space="preserve">     3) If capacity constrained, enable overflow routing or temporary callback to preserve conversion while staffing is adjusted.</w:t>
      </w:r>
    </w:p>
    <w:p>
      <w:r>
        <w:t xml:space="preserve">   Evidence: retrieved: TODAY_KPI_JSON (queue_calls, queue_to_ivr_rate, ivr_completed_calls, abandonment_rate, and transactional_conversion_rate changes)</w:t>
      </w:r>
    </w:p>
    <w:p/>
    <w:p/>
    <w:p>
      <w:r>
        <w:t>=== ALERTS / OUT-OF-SCOPE ANALYSES ===</w:t>
      </w:r>
    </w:p>
    <w:p/>
    <w:p>
      <w:r>
        <w:t>1. [A1] Compass ingestion outage for Site &amp; SERP (entered_compass_rate = 0) (severity: critical)</w:t>
      </w:r>
    </w:p>
    <w:p>
      <w:r>
        <w:t xml:space="preserve">   Why: Site and SERP sources report entered_compass_calls_count = 0 and entered_compass_rate = 0 while gross_calls remain high (Site gross_calls=4965, SERP gross_calls=1659). This indicates Compass ingestion or tagging failure for primary acquisition channels causing loss of Compass-driven routing/metrics (CIContact attribution).</w:t>
      </w:r>
    </w:p>
    <w:p>
      <w:r>
        <w:t xml:space="preserve">   Evidence: {'site_entered_compass_calls_count_current': 0, 'site_entered_compass_calls_count_baseline': 2978.5, 'serp_entered_compass_calls_count_current': 0, 'serp_entered_compass_calls_count_baseline': 645.0, 'site_gross_calls_current': 4965, 'serp_gross_calls_current': 1659}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