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- 01_30_2026 (Friday)</w:t>
      </w:r>
    </w:p>
    <w:p>
      <w:r>
        <w:t>Overall performance is mixed: top-line revenue improved while funnel efficiency weakened. The revenue lift was driven primarily by partner channels while Natural sources underperformed, suggesting a partner/mix shift rather than a pure demand increase. Compass saw higher entry volume but bot handling declined, producing more live/IVR handoffs and increased downstream operational load. Queueing and IVR pressure rose while abandonment remained low in absolute terms, coinciding with a notable drop in transactional conversion per entered call. Order-level revenue metrics held roughly steady so the business captured dollars despite conversion headwinds, and a critical Compass ingestion outage affecting Site and SERP stands out as an immediate anomaly to triage.</w:t>
      </w:r>
    </w:p>
    <w:p>
      <w:pPr>
        <w:pStyle w:val="Heading2"/>
      </w:pPr>
      <w:r>
        <w:t>Callouts (with importance)</w:t>
      </w:r>
    </w:p>
    <w:p>
      <w:pPr>
        <w:pStyle w:val="ListBullet"/>
      </w:pPr>
      <w:r>
        <w:t>[High] Partner channels drove the revenue uplift but shifted traffic mix toward lower-intent sources.</w:t>
      </w:r>
    </w:p>
    <w:p>
      <w:pPr>
        <w:pStyle w:val="ListBullet"/>
      </w:pPr>
      <w:r>
        <w:t>[High] Compass bot engagement fell, causing more calls to route to IVR and live agents.</w:t>
      </w:r>
    </w:p>
    <w:p>
      <w:pPr>
        <w:pStyle w:val="ListBullet"/>
      </w:pPr>
      <w:r>
        <w:t>[High] Transactional conversion per entered call deteriorated sharply, hurting checkout efficiency.</w:t>
      </w:r>
    </w:p>
    <w:p>
      <w:pPr>
        <w:pStyle w:val="ListBullet"/>
      </w:pPr>
      <w:r>
        <w:t>[Medium] Queueing and IVR-to-queue pressure increased while abandonment remained low in absolute terms.</w:t>
      </w:r>
    </w:p>
    <w:p>
      <w:pPr>
        <w:pStyle w:val="ListBullet"/>
      </w:pPr>
      <w:r>
        <w:t>[Medium] Order-level revenue metrics remained stable, indicating dollars were captured despite conversion strain.</w:t>
      </w:r>
    </w:p>
    <w:p>
      <w:pPr>
        <w:pStyle w:val="ListBullet"/>
      </w:pPr>
      <w:r>
        <w:t>[High] A Compass ingestion outage for Site and SERP is a critical anomaly likely distorting routing and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