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- 01_30_2026 (Friday)</w:t>
      </w:r>
    </w:p>
    <w:p>
      <w:r>
        <w:t>Today was a better-than-trend day driven by stronger top-of-funnel volume and a favorable partner mix that produced a clear revenue beat. Compass activity rose with more calls entering the flow and a notable decline in bot-handled interactions, shifting more work to live agents. Despite the top-line strength, non-bot Compass conversion deteriorated markedly, driven primarily by a pronounced collapse in Natural-bucket performance that points to lead quality or qualification issues. Operationally, queue management prioritized throughput effectively with improved queue-to-agent routing and minimal abandonment, which boosted agent contacts and closures. The overall picture is higher gross performance but weaker downstream conversion, so focus should be on validating partner/marketing sources, auditing Compass qualification steps, and preserving routing changes that improved throughput while tightening upstream qualification.</w:t>
      </w:r>
    </w:p>
    <w:p>
      <w:pPr>
        <w:pStyle w:val="Heading2"/>
      </w:pPr>
      <w:r>
        <w:t>Callouts (with importance)</w:t>
      </w:r>
    </w:p>
    <w:p>
      <w:pPr>
        <w:pStyle w:val="ListBullet"/>
      </w:pPr>
      <w:r>
        <w:t>[High] Bot-handled Compass flows dropped sharply, forcing more live handoffs to agents.</w:t>
      </w:r>
    </w:p>
    <w:p>
      <w:pPr>
        <w:pStyle w:val="ListBullet"/>
      </w:pPr>
      <w:r>
        <w:t>[High] Natural-bucket conversion and revenue performance collapsed, indicating lead quality or qualification failures.</w:t>
      </w:r>
    </w:p>
    <w:p>
      <w:pPr>
        <w:pStyle w:val="ListBullet"/>
      </w:pPr>
      <w:r>
        <w:t>[High] A large spike in Compass entries suggests a partner or marketing send altered the top-of-funnel mix.</w:t>
      </w:r>
    </w:p>
    <w:p>
      <w:pPr>
        <w:pStyle w:val="ListBullet"/>
      </w:pPr>
      <w:r>
        <w:t>[Medium] Queue-to-agent routing improved throughput and kept abandonment negligible.</w:t>
      </w:r>
    </w:p>
    <w:p>
      <w:pPr>
        <w:pStyle w:val="ListBullet"/>
      </w:pPr>
      <w:r>
        <w:t>[Medium] Agents closed more orders with higher average order value, supporting the revenue beat despite weaker downstream conversion.</w:t>
      </w:r>
    </w:p>
    <w:p>
      <w:pPr>
        <w:pStyle w:val="ListBullet"/>
      </w:pPr>
      <w:r>
        <w:t>[Low] Several small buckets showed localized abandonment and ZIP breakage spikes that warrant targeted QA.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