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40"/>
          <w:shd w:fill="auto" w:val="clear"/>
        </w:rPr>
        <w:t xml:space="preserve">Revenue Projections </w:t>
      </w:r>
      <w:r>
        <w:rPr>
          <w:rFonts w:ascii="Calibri" w:hAnsi="Calibri" w:cs="Calibri" w:eastAsia="Calibri"/>
          <w:b/>
          <w:color w:val="0A3946"/>
          <w:spacing w:val="0"/>
          <w:position w:val="0"/>
          <w:sz w:val="40"/>
          <w:shd w:fill="auto" w:val="clear"/>
        </w:rPr>
        <w:t xml:space="preserve">— AI-Enhanced Client Services Business Unit</w:t>
      </w:r>
    </w:p>
    <w:p>
      <w:pPr>
        <w:spacing w:before="0" w:after="24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E5A70"/>
          <w:spacing w:val="0"/>
          <w:position w:val="0"/>
          <w:sz w:val="22"/>
          <w:shd w:fill="auto" w:val="clear"/>
        </w:rPr>
        <w:t xml:space="preserve">Three-year revenue view based on the original "</w:t>
      </w:r>
      <w:r>
        <w:rPr>
          <w:rFonts w:ascii="Aptos" w:hAnsi="Aptos" w:cs="Aptos" w:eastAsia="Aptos"/>
          <w:b/>
          <w:color w:val="0E5A70"/>
          <w:spacing w:val="0"/>
          <w:position w:val="0"/>
          <w:sz w:val="22"/>
          <w:u w:val="single"/>
          <w:shd w:fill="auto" w:val="clear"/>
        </w:rPr>
        <w:t xml:space="preserve">Flytics</w:t>
      </w:r>
      <w:r>
        <w:rPr>
          <w:rFonts w:ascii="Aptos" w:hAnsi="Aptos" w:cs="Aptos" w:eastAsia="Aptos"/>
          <w:color w:val="0E5A70"/>
          <w:spacing w:val="0"/>
          <w:position w:val="0"/>
          <w:sz w:val="22"/>
          <w:shd w:fill="auto" w:val="clear"/>
        </w:rPr>
        <w:t xml:space="preserve">" business case</w:t>
      </w:r>
    </w:p>
    <w:tbl>
      <w:tblPr/>
      <w:tblGrid>
        <w:gridCol w:w="9994"/>
      </w:tblGrid>
      <w:tr>
        <w:trPr>
          <w:trHeight w:val="1" w:hRule="atLeast"/>
          <w:jc w:val="center"/>
        </w:trPr>
        <w:tc>
          <w:tcPr>
            <w:tcW w:w="9994" w:type="dxa"/>
            <w:tcBorders>
              <w:top w:val="single" w:color="8bbfd0" w:sz="12"/>
              <w:left w:val="single" w:color="8bbfd0" w:sz="12"/>
              <w:bottom w:val="single" w:color="8bbfd0" w:sz="12"/>
              <w:right w:val="single" w:color="8bbfd0" w:sz="12"/>
            </w:tcBorders>
            <w:shd w:color="000000" w:fill="dceff5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4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 Display" w:hAnsi="Aptos Display" w:cs="Aptos Display" w:eastAsia="Aptos Display"/>
                <w:b/>
                <w:color w:val="0A3946"/>
                <w:spacing w:val="0"/>
                <w:position w:val="0"/>
                <w:sz w:val="23"/>
                <w:shd w:fill="auto" w:val="clear"/>
              </w:rPr>
              <w:t xml:space="preserve">How to read this document</w:t>
              <w:br/>
            </w: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These projections are revenue estimates only. They extend the original conservative business case into a three-year model that includes AI-enabled premium analytics, recurring monitoring subscriptions, and value-added reporting services. Costs, gross margin, and capital requirements should be modeled separately.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1. Baseline from the Original Business Case</w:t>
      </w:r>
    </w:p>
    <w:p>
      <w:pPr>
        <w:spacing w:before="0" w:after="8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1"/>
          <w:shd w:fill="auto" w:val="clear"/>
        </w:rPr>
        <w:t xml:space="preserve">The original system request cited conservative tangible annual value of $357,500 from new pilot contracts and drone leases and $565,000 from drone flight services and data analysis, for a combined baseline of $922,500.</w:t>
      </w:r>
    </w:p>
    <w:tbl>
      <w:tblPr/>
      <w:tblGrid>
        <w:gridCol w:w="4997"/>
        <w:gridCol w:w="4997"/>
      </w:tblGrid>
      <w:tr>
        <w:trPr>
          <w:trHeight w:val="1" w:hRule="atLeast"/>
          <w:jc w:val="center"/>
        </w:trPr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Revenue stream</w:t>
            </w:r>
          </w:p>
        </w:tc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1 baseline</w:t>
            </w:r>
          </w:p>
        </w:tc>
      </w:tr>
      <w:tr>
        <w:trPr>
          <w:trHeight w:val="1" w:hRule="atLeast"/>
          <w:jc w:val="center"/>
        </w:trPr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New pilot contracts and drone leases</w:t>
            </w:r>
          </w:p>
        </w:tc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$357,500</w:t>
            </w:r>
          </w:p>
        </w:tc>
      </w:tr>
      <w:tr>
        <w:trPr>
          <w:trHeight w:val="1" w:hRule="atLeast"/>
          <w:jc w:val="center"/>
        </w:trPr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Drone flight services and data analysis</w:t>
            </w:r>
          </w:p>
        </w:tc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$565,000</w:t>
            </w:r>
          </w:p>
        </w:tc>
      </w:tr>
      <w:tr>
        <w:trPr>
          <w:trHeight w:val="1" w:hRule="atLeast"/>
          <w:jc w:val="center"/>
        </w:trPr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Total original business case</w:t>
            </w:r>
          </w:p>
        </w:tc>
        <w:tc>
          <w:tcPr>
            <w:tcW w:w="4997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$922,500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2. Projection Method</w:t>
      </w:r>
    </w:p>
    <w:p>
      <w:pPr>
        <w:spacing w:before="0" w:after="8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1"/>
          <w:shd w:fill="auto" w:val="clear"/>
        </w:rPr>
        <w:t xml:space="preserve">The target scenario assumes the business launches with the original baseline revenue streams and adds AI-driven offers that expand average deal value and repeat business. The model separates revenue into five streams so each can be validated later with market data.</w:t>
      </w:r>
    </w:p>
    <w:tbl>
      <w:tblPr/>
      <w:tblGrid>
        <w:gridCol w:w="3331"/>
        <w:gridCol w:w="3331"/>
        <w:gridCol w:w="3331"/>
      </w:tblGrid>
      <w:tr>
        <w:trPr>
          <w:trHeight w:val="1" w:hRule="atLeast"/>
          <w:jc w:val="center"/>
        </w:trPr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Revenue stream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1 assumption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Growth logic</w:t>
            </w:r>
          </w:p>
        </w:tc>
      </w:tr>
      <w:tr>
        <w:trPr>
          <w:trHeight w:val="1" w:hRule="atLeast"/>
          <w:jc w:val="center"/>
        </w:trPr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New pilot contracts and drone leases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$357,500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12% growth in Year 2; 10% in Year 3 as the pilot network expands</w:t>
            </w:r>
          </w:p>
        </w:tc>
      </w:tr>
      <w:tr>
        <w:trPr>
          <w:trHeight w:val="1" w:hRule="atLeast"/>
          <w:jc w:val="center"/>
        </w:trPr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Drone flight service and data analysis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$565,000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18% growth in Year 2; 16% in Year 3 from demand growth and better conversion</w:t>
            </w:r>
          </w:p>
        </w:tc>
      </w:tr>
      <w:tr>
        <w:trPr>
          <w:trHeight w:val="1" w:hRule="atLeast"/>
          <w:jc w:val="center"/>
        </w:trPr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AI analytics premium services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$84,750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15% attachment against service revenue in Year 1, expanding with adoption</w:t>
            </w:r>
          </w:p>
        </w:tc>
      </w:tr>
      <w:tr>
        <w:trPr>
          <w:trHeight w:val="1" w:hRule="atLeast"/>
          <w:jc w:val="center"/>
        </w:trPr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Recurring monitoring subscriptions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$72,000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Initial recurring clients with strong expansion in Years 2 and 3</w:t>
            </w:r>
          </w:p>
        </w:tc>
      </w:tr>
      <w:tr>
        <w:trPr>
          <w:trHeight w:val="1" w:hRule="atLeast"/>
          <w:jc w:val="center"/>
        </w:trPr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Priority turnaround and custom reporting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$24,000</w:t>
            </w:r>
          </w:p>
        </w:tc>
        <w:tc>
          <w:tcPr>
            <w:tcW w:w="3331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Small Year 1 add-on revenue with steady attachment growth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3. Target Three-Year Revenue Projection</w:t>
      </w:r>
    </w:p>
    <w:tbl>
      <w:tblPr/>
      <w:tblGrid>
        <w:gridCol w:w="2498"/>
        <w:gridCol w:w="2498"/>
        <w:gridCol w:w="2498"/>
        <w:gridCol w:w="2498"/>
      </w:tblGrid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Revenue stream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1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2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3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New pilot contracts and drone leases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$357,500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$400,400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$440,440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Drone flight service and data analysis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$565,000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$666,700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$773,372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AI analytics premium services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$84,750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$118,650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$160,178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Recurring monitoring subscriptions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$72,000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$115,200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$167,040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Priority turnaround and custom reporting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$24,000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$32,400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$40,500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Total projected revenue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$1,103,250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$1,333,350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$1,581,530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4. Scenario Comparison</w:t>
      </w:r>
    </w:p>
    <w:p>
      <w:pPr>
        <w:spacing w:before="0" w:after="80" w:line="26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1"/>
          <w:shd w:fill="auto" w:val="clear"/>
        </w:rPr>
        <w:t xml:space="preserve">The tables below show a conservative case, target case, and upside case. The target case is intended as the planning view for the enhanced platform.</w:t>
      </w:r>
    </w:p>
    <w:tbl>
      <w:tblPr/>
      <w:tblGrid>
        <w:gridCol w:w="1999"/>
        <w:gridCol w:w="1999"/>
        <w:gridCol w:w="1999"/>
        <w:gridCol w:w="1999"/>
        <w:gridCol w:w="1999"/>
      </w:tblGrid>
      <w:tr>
        <w:trPr>
          <w:trHeight w:val="1" w:hRule="atLeast"/>
          <w:jc w:val="center"/>
        </w:trPr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Scenario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1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2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3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2-year CAGR</w:t>
            </w:r>
          </w:p>
        </w:tc>
      </w:tr>
      <w:tr>
        <w:trPr>
          <w:trHeight w:val="1" w:hRule="atLeast"/>
          <w:jc w:val="center"/>
        </w:trPr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Conservative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$998,750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$1,127,200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$1,255,482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12.1%</w:t>
            </w:r>
          </w:p>
        </w:tc>
      </w:tr>
      <w:tr>
        <w:trPr>
          <w:trHeight w:val="1" w:hRule="atLeast"/>
          <w:jc w:val="center"/>
        </w:trPr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Target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$1,103,250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$1,333,350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$1,581,530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19.7%</w:t>
            </w:r>
          </w:p>
        </w:tc>
      </w:tr>
      <w:tr>
        <w:trPr>
          <w:trHeight w:val="1" w:hRule="atLeast"/>
          <w:jc w:val="center"/>
        </w:trPr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Upside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$1,161,500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$1,490,000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$1,879,865</w:t>
            </w:r>
          </w:p>
        </w:tc>
        <w:tc>
          <w:tcPr>
            <w:tcW w:w="1999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27.2%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5. Revenue Mix in the Target Case</w:t>
      </w:r>
    </w:p>
    <w:tbl>
      <w:tblPr/>
      <w:tblGrid>
        <w:gridCol w:w="2498"/>
        <w:gridCol w:w="2498"/>
        <w:gridCol w:w="2498"/>
        <w:gridCol w:w="2498"/>
      </w:tblGrid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Revenue stream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1 mix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Year 3 mix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d9ee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Comment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New pilot contracts and drone leases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32.4%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27.8%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Important network-building revenue that supports marketplace capacity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Drone flight service and data analysis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51.2%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48.9%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Core revenue base and primary demand engine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AI analytics premium services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7.7%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10.1%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Highest-margin differentiator once adoption grows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Recurring monitoring subscriptions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6.5%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10.6%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Stabilizes revenue through repeat service commitments</w:t>
            </w:r>
          </w:p>
        </w:tc>
      </w:tr>
      <w:tr>
        <w:trPr>
          <w:trHeight w:val="1" w:hRule="atLeast"/>
          <w:jc w:val="center"/>
        </w:trPr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Priority turnaround and custom reporting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2.2%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2.6%</w:t>
            </w:r>
          </w:p>
        </w:tc>
        <w:tc>
          <w:tcPr>
            <w:tcW w:w="2498" w:type="dxa"/>
            <w:tcBorders>
              <w:top w:val="single" w:color="c7d2d9" w:sz="7"/>
              <w:left w:val="single" w:color="c7d2d9" w:sz="7"/>
              <w:bottom w:val="single" w:color="c7d2d9" w:sz="7"/>
              <w:right w:val="single" w:color="c7d2d9" w:sz="7"/>
            </w:tcBorders>
            <w:shd w:color="000000" w:fill="fbfcfd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5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Smaller add-on revenue that improves average order value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6. Key Takeaways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40" w:line="259"/>
        <w:ind w:right="0" w:left="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0"/>
          <w:shd w:fill="auto" w:val="clear"/>
        </w:rPr>
        <w:t xml:space="preserve">The original business case supports a Year 1 base of $922,500 before AI-specific upsell and recurring offers are included.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40" w:line="259"/>
        <w:ind w:right="0" w:left="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0"/>
          <w:shd w:fill="auto" w:val="clear"/>
        </w:rPr>
        <w:t xml:space="preserve">In the target case, total revenue rises to $1,103,250 in Year 1, $1,333,350 in Year 2, and $1,581,530 in Year 3.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40" w:line="259"/>
        <w:ind w:right="0" w:left="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0"/>
          <w:shd w:fill="auto" w:val="clear"/>
        </w:rPr>
        <w:t xml:space="preserve">The largest expansion opportunity is not flight volume alone; it is the combination of premium analytics, subscriptions, and operational improvements that support higher attachment and repeat business.</w:t>
      </w:r>
    </w:p>
    <w:p>
      <w:pPr>
        <w:numPr>
          <w:ilvl w:val="0"/>
          <w:numId w:val="118"/>
        </w:numPr>
        <w:tabs>
          <w:tab w:val="left" w:pos="360" w:leader="none"/>
        </w:tabs>
        <w:spacing w:before="0" w:after="40" w:line="259"/>
        <w:ind w:right="0" w:left="0" w:hanging="360"/>
        <w:jc w:val="left"/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22282D"/>
          <w:spacing w:val="0"/>
          <w:position w:val="0"/>
          <w:sz w:val="20"/>
          <w:shd w:fill="auto" w:val="clear"/>
        </w:rPr>
        <w:t xml:space="preserve">Recurring monitoring contracts and AI analytics become increasingly important by Year 3, improving predictability and strategic differentiation.</w:t>
      </w:r>
    </w:p>
    <w:p>
      <w:pPr>
        <w:spacing w:before="240" w:after="1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 Display" w:hAnsi="Aptos Display" w:cs="Aptos Display" w:eastAsia="Aptos Display"/>
          <w:b/>
          <w:color w:val="0A3946"/>
          <w:spacing w:val="0"/>
          <w:position w:val="0"/>
          <w:sz w:val="26"/>
          <w:shd w:fill="auto" w:val="clear"/>
        </w:rPr>
        <w:t xml:space="preserve">7. Sensitivities and Next Validation Steps</w:t>
      </w:r>
    </w:p>
    <w:tbl>
      <w:tblPr/>
      <w:tblGrid>
        <w:gridCol w:w="4997"/>
        <w:gridCol w:w="4997"/>
      </w:tblGrid>
      <w:tr>
        <w:trPr>
          <w:trHeight w:val="1" w:hRule="atLeast"/>
          <w:jc w:val="center"/>
        </w:trPr>
        <w:tc>
          <w:tcPr>
            <w:tcW w:w="4997" w:type="dxa"/>
            <w:tcBorders>
              <w:top w:val="single" w:color="c4d3d9" w:sz="7"/>
              <w:left w:val="single" w:color="c4d3d9" w:sz="7"/>
              <w:bottom w:val="single" w:color="c4d3d9" w:sz="7"/>
              <w:right w:val="single" w:color="c4d3d9" w:sz="7"/>
            </w:tcBorders>
            <w:shd w:color="000000" w:fill="eaf2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Key sensitivities</w:t>
            </w:r>
          </w:p>
        </w:tc>
        <w:tc>
          <w:tcPr>
            <w:tcW w:w="4997" w:type="dxa"/>
            <w:tcBorders>
              <w:top w:val="single" w:color="c4d3d9" w:sz="7"/>
              <w:left w:val="single" w:color="c4d3d9" w:sz="7"/>
              <w:bottom w:val="single" w:color="c4d3d9" w:sz="7"/>
              <w:right w:val="single" w:color="c4d3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Pilot network capacity, local demand density, average contract value, AI premium attachment rate, subscription retention, turnaround expectations, and competitive pricing</w:t>
            </w:r>
          </w:p>
        </w:tc>
      </w:tr>
      <w:tr>
        <w:trPr>
          <w:trHeight w:val="1" w:hRule="atLeast"/>
          <w:jc w:val="center"/>
        </w:trPr>
        <w:tc>
          <w:tcPr>
            <w:tcW w:w="4997" w:type="dxa"/>
            <w:tcBorders>
              <w:top w:val="single" w:color="c4d3d9" w:sz="7"/>
              <w:left w:val="single" w:color="c4d3d9" w:sz="7"/>
              <w:bottom w:val="single" w:color="c4d3d9" w:sz="7"/>
              <w:right w:val="single" w:color="c4d3d9" w:sz="7"/>
            </w:tcBorders>
            <w:shd w:color="000000" w:fill="eaf2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0A3946"/>
                <w:spacing w:val="0"/>
                <w:position w:val="0"/>
                <w:sz w:val="20"/>
                <w:shd w:fill="auto" w:val="clear"/>
              </w:rPr>
              <w:t xml:space="preserve">Validation needed</w:t>
            </w:r>
          </w:p>
        </w:tc>
        <w:tc>
          <w:tcPr>
            <w:tcW w:w="4997" w:type="dxa"/>
            <w:tcBorders>
              <w:top w:val="single" w:color="c4d3d9" w:sz="7"/>
              <w:left w:val="single" w:color="c4d3d9" w:sz="7"/>
              <w:bottom w:val="single" w:color="c4d3d9" w:sz="7"/>
              <w:right w:val="single" w:color="c4d3d9" w:sz="7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22282D"/>
                <w:spacing w:val="0"/>
                <w:position w:val="0"/>
                <w:sz w:val="20"/>
                <w:shd w:fill="auto" w:val="clear"/>
              </w:rPr>
              <w:t xml:space="preserve">Customer interviews, regional demand sizing, historical pilot utilization, pricing tests, and a margin model for flight services versus analytics</w:t>
            </w:r>
          </w:p>
        </w:tc>
      </w:tr>
    </w:tbl>
    <w:p>
      <w:pPr>
        <w:spacing w:before="24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