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20" w:line="276"/>
        <w:ind w:right="0" w:left="0" w:firstLine="0"/>
        <w:jc w:val="center"/>
        <w:rPr>
          <w:rFonts w:ascii="Calibri" w:hAnsi="Calibri" w:cs="Calibri" w:eastAsia="Calibri"/>
          <w:color w:val="auto"/>
          <w:spacing w:val="0"/>
          <w:position w:val="0"/>
          <w:sz w:val="21"/>
          <w:shd w:fill="auto" w:val="clear"/>
        </w:rPr>
      </w:pPr>
      <w:r>
        <w:rPr>
          <w:rFonts w:ascii="Aptos Display" w:hAnsi="Aptos Display" w:cs="Aptos Display" w:eastAsia="Aptos Display"/>
          <w:b/>
          <w:color w:val="0A3946"/>
          <w:spacing w:val="0"/>
          <w:position w:val="0"/>
          <w:sz w:val="40"/>
          <w:shd w:fill="auto" w:val="clear"/>
        </w:rPr>
        <w:t xml:space="preserve">System Request </w:t>
      </w:r>
      <w:r>
        <w:rPr>
          <w:rFonts w:ascii="Calibri" w:hAnsi="Calibri" w:cs="Calibri" w:eastAsia="Calibri"/>
          <w:b/>
          <w:color w:val="0A3946"/>
          <w:spacing w:val="0"/>
          <w:position w:val="0"/>
          <w:sz w:val="40"/>
          <w:shd w:fill="auto" w:val="clear"/>
        </w:rPr>
        <w:t xml:space="preserve">— AI-Enhanced Client Services Platform</w:t>
      </w:r>
    </w:p>
    <w:p>
      <w:pPr>
        <w:spacing w:before="0" w:after="240" w:line="276"/>
        <w:ind w:right="0" w:left="0" w:firstLine="0"/>
        <w:jc w:val="center"/>
        <w:rPr>
          <w:rFonts w:ascii="Aptos" w:hAnsi="Aptos" w:cs="Aptos" w:eastAsia="Aptos"/>
          <w:color w:val="auto"/>
          <w:spacing w:val="0"/>
          <w:position w:val="0"/>
          <w:sz w:val="21"/>
          <w:shd w:fill="auto" w:val="clear"/>
        </w:rPr>
      </w:pPr>
      <w:r>
        <w:rPr>
          <w:rFonts w:ascii="Aptos" w:hAnsi="Aptos" w:cs="Aptos" w:eastAsia="Aptos"/>
          <w:color w:val="0E5A70"/>
          <w:spacing w:val="0"/>
          <w:position w:val="0"/>
          <w:sz w:val="22"/>
          <w:shd w:fill="auto" w:val="clear"/>
        </w:rPr>
        <w:t xml:space="preserve">Prepared for the "</w:t>
      </w:r>
      <w:r>
        <w:rPr>
          <w:rFonts w:ascii="Aptos" w:hAnsi="Aptos" w:cs="Aptos" w:eastAsia="Aptos"/>
          <w:b/>
          <w:color w:val="0E5A70"/>
          <w:spacing w:val="0"/>
          <w:position w:val="0"/>
          <w:sz w:val="22"/>
          <w:shd w:fill="auto" w:val="clear"/>
        </w:rPr>
        <w:t xml:space="preserve">Flytics</w:t>
      </w:r>
      <w:r>
        <w:rPr>
          <w:rFonts w:ascii="Aptos" w:hAnsi="Aptos" w:cs="Aptos" w:eastAsia="Aptos"/>
          <w:color w:val="0E5A70"/>
          <w:spacing w:val="0"/>
          <w:position w:val="0"/>
          <w:sz w:val="22"/>
          <w:shd w:fill="auto" w:val="clear"/>
        </w:rPr>
        <w:t xml:space="preserve">" Client Services Business Unit</w:t>
      </w:r>
    </w:p>
    <w:tbl>
      <w:tblPr/>
      <w:tblGrid>
        <w:gridCol w:w="9994"/>
      </w:tblGrid>
      <w:tr>
        <w:trPr>
          <w:trHeight w:val="1" w:hRule="atLeast"/>
          <w:jc w:val="center"/>
        </w:trPr>
        <w:tc>
          <w:tcPr>
            <w:tcW w:w="9994" w:type="dxa"/>
            <w:tcBorders>
              <w:top w:val="single" w:color="8bbfd0" w:sz="12"/>
              <w:left w:val="single" w:color="8bbfd0" w:sz="12"/>
              <w:bottom w:val="single" w:color="8bbfd0" w:sz="12"/>
              <w:right w:val="single" w:color="8bbfd0" w:sz="12"/>
            </w:tcBorders>
            <w:shd w:color="000000" w:fill="dceff5" w:val="clear"/>
            <w:tcMar>
              <w:left w:w="108" w:type="dxa"/>
              <w:right w:w="108" w:type="dxa"/>
            </w:tcMar>
            <w:vAlign w:val="top"/>
          </w:tcPr>
          <w:p>
            <w:pPr>
              <w:spacing w:before="0" w:after="40" w:line="276"/>
              <w:ind w:right="0" w:left="0" w:firstLine="0"/>
              <w:jc w:val="left"/>
              <w:rPr>
                <w:spacing w:val="0"/>
                <w:position w:val="0"/>
                <w:shd w:fill="auto" w:val="clear"/>
              </w:rPr>
            </w:pPr>
            <w:r>
              <w:rPr>
                <w:rFonts w:ascii="Aptos Display" w:hAnsi="Aptos Display" w:cs="Aptos Display" w:eastAsia="Aptos Display"/>
                <w:b/>
                <w:color w:val="0A3946"/>
                <w:spacing w:val="0"/>
                <w:position w:val="0"/>
                <w:sz w:val="23"/>
                <w:shd w:fill="auto" w:val="clear"/>
              </w:rPr>
              <w:t xml:space="preserve">Document purpose</w:t>
              <w:br/>
            </w:r>
            <w:r>
              <w:rPr>
                <w:rFonts w:ascii="Aptos" w:hAnsi="Aptos" w:cs="Aptos" w:eastAsia="Aptos"/>
                <w:color w:val="22282D"/>
                <w:spacing w:val="0"/>
                <w:position w:val="0"/>
                <w:sz w:val="20"/>
                <w:shd w:fill="auto" w:val="clear"/>
              </w:rPr>
              <w:t xml:space="preserve">This system request reframes the original Client Services project as an AI-enabled digital platform that lets clients request drone flight services and data analysis through the company website, while improving pilot matching, pricing discipline, operational control, and the value of delivered analytics.</w:t>
            </w:r>
          </w:p>
        </w:tc>
      </w:tr>
    </w:tbl>
    <w:p>
      <w:pPr>
        <w:spacing w:before="240" w:after="100" w:line="276"/>
        <w:ind w:right="0" w:left="0" w:firstLine="0"/>
        <w:jc w:val="left"/>
        <w:rPr>
          <w:rFonts w:ascii="Aptos" w:hAnsi="Aptos" w:cs="Aptos" w:eastAsia="Aptos"/>
          <w:color w:val="auto"/>
          <w:spacing w:val="0"/>
          <w:position w:val="0"/>
          <w:sz w:val="21"/>
          <w:shd w:fill="auto" w:val="clear"/>
        </w:rPr>
      </w:pPr>
      <w:r>
        <w:rPr>
          <w:rFonts w:ascii="Aptos Display" w:hAnsi="Aptos Display" w:cs="Aptos Display" w:eastAsia="Aptos Display"/>
          <w:b/>
          <w:color w:val="0A3946"/>
          <w:spacing w:val="0"/>
          <w:position w:val="0"/>
          <w:sz w:val="26"/>
          <w:shd w:fill="auto" w:val="clear"/>
        </w:rPr>
        <w:t xml:space="preserve">1. Executive Summary</w:t>
      </w:r>
    </w:p>
    <w:p>
      <w:pPr>
        <w:spacing w:before="0" w:after="80" w:line="269"/>
        <w:ind w:right="0" w:left="0" w:firstLine="0"/>
        <w:jc w:val="left"/>
        <w:rPr>
          <w:rFonts w:ascii="Aptos" w:hAnsi="Aptos" w:cs="Aptos" w:eastAsia="Aptos"/>
          <w:color w:val="auto"/>
          <w:spacing w:val="0"/>
          <w:position w:val="0"/>
          <w:sz w:val="21"/>
          <w:shd w:fill="auto" w:val="clear"/>
        </w:rPr>
      </w:pPr>
      <w:r>
        <w:rPr>
          <w:rFonts w:ascii="Aptos" w:hAnsi="Aptos" w:cs="Aptos" w:eastAsia="Aptos"/>
          <w:color w:val="22282D"/>
          <w:spacing w:val="0"/>
          <w:position w:val="0"/>
          <w:sz w:val="21"/>
          <w:shd w:fill="auto" w:val="clear"/>
        </w:rPr>
        <w:t xml:space="preserve">The Client Services Business Unit requires a web-based platform that enables clients to request drone flight services and associated data analysis without owning drone assets directly. The solution will route qualified work to contracted pilots, manage bidding and assignment, and deliver reports and data products to clients through a secure portal.</w:t>
      </w:r>
    </w:p>
    <w:p>
      <w:pPr>
        <w:spacing w:before="0" w:after="80" w:line="269"/>
        <w:ind w:right="0" w:left="0" w:firstLine="0"/>
        <w:jc w:val="left"/>
        <w:rPr>
          <w:rFonts w:ascii="Aptos" w:hAnsi="Aptos" w:cs="Aptos" w:eastAsia="Aptos"/>
          <w:color w:val="auto"/>
          <w:spacing w:val="0"/>
          <w:position w:val="0"/>
          <w:sz w:val="21"/>
          <w:shd w:fill="auto" w:val="clear"/>
        </w:rPr>
      </w:pPr>
      <w:r>
        <w:rPr>
          <w:rFonts w:ascii="Aptos" w:hAnsi="Aptos" w:cs="Aptos" w:eastAsia="Aptos"/>
          <w:color w:val="22282D"/>
          <w:spacing w:val="0"/>
          <w:position w:val="0"/>
          <w:sz w:val="21"/>
          <w:shd w:fill="auto" w:val="clear"/>
        </w:rPr>
        <w:t xml:space="preserve">The proposed enhancement is an AI Services Layer that improves how requests are captured, priced, matched, fulfilled, and reported. This layer reduces manual triage, improves service consistency, increases conversion, and creates higher-margin revenue streams in analytics, subscriptions, and premium turnaround services.</w:t>
      </w:r>
    </w:p>
    <w:p>
      <w:pPr>
        <w:spacing w:before="240" w:after="100" w:line="276"/>
        <w:ind w:right="0" w:left="0" w:firstLine="0"/>
        <w:jc w:val="left"/>
        <w:rPr>
          <w:rFonts w:ascii="Aptos" w:hAnsi="Aptos" w:cs="Aptos" w:eastAsia="Aptos"/>
          <w:color w:val="auto"/>
          <w:spacing w:val="0"/>
          <w:position w:val="0"/>
          <w:sz w:val="21"/>
          <w:shd w:fill="auto" w:val="clear"/>
        </w:rPr>
      </w:pPr>
      <w:r>
        <w:rPr>
          <w:rFonts w:ascii="Aptos Display" w:hAnsi="Aptos Display" w:cs="Aptos Display" w:eastAsia="Aptos Display"/>
          <w:b/>
          <w:color w:val="0A3946"/>
          <w:spacing w:val="0"/>
          <w:position w:val="0"/>
          <w:sz w:val="26"/>
          <w:shd w:fill="auto" w:val="clear"/>
        </w:rPr>
        <w:t xml:space="preserve">2. Business Context</w:t>
      </w:r>
    </w:p>
    <w:tbl>
      <w:tblPr/>
      <w:tblGrid>
        <w:gridCol w:w="4997"/>
        <w:gridCol w:w="4997"/>
      </w:tblGrid>
      <w:tr>
        <w:trPr>
          <w:trHeight w:val="1" w:hRule="atLeast"/>
          <w:jc w:val="center"/>
        </w:trPr>
        <w:tc>
          <w:tcPr>
            <w:tcW w:w="4997" w:type="dxa"/>
            <w:tcBorders>
              <w:top w:val="single" w:color="c4d3d9" w:sz="7"/>
              <w:left w:val="single" w:color="c4d3d9" w:sz="7"/>
              <w:bottom w:val="single" w:color="c4d3d9" w:sz="7"/>
              <w:right w:val="single" w:color="c4d3d9" w:sz="7"/>
            </w:tcBorders>
            <w:shd w:color="000000" w:fill="eaf2f5"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b/>
                <w:color w:val="0A3946"/>
                <w:spacing w:val="0"/>
                <w:position w:val="0"/>
                <w:sz w:val="20"/>
                <w:shd w:fill="auto" w:val="clear"/>
              </w:rPr>
              <w:t xml:space="preserve">Project Sponsor</w:t>
            </w:r>
          </w:p>
        </w:tc>
        <w:tc>
          <w:tcPr>
            <w:tcW w:w="4997" w:type="dxa"/>
            <w:tcBorders>
              <w:top w:val="single" w:color="c4d3d9" w:sz="7"/>
              <w:left w:val="single" w:color="c4d3d9" w:sz="7"/>
              <w:bottom w:val="single" w:color="c4d3d9" w:sz="7"/>
              <w:right w:val="single" w:color="c4d3d9" w:sz="7"/>
            </w:tcBorders>
            <w:shd w:color="000000" w:fill="ffffff"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Mahros Mohamed</w:t>
            </w:r>
          </w:p>
        </w:tc>
      </w:tr>
      <w:tr>
        <w:trPr>
          <w:trHeight w:val="1" w:hRule="atLeast"/>
          <w:jc w:val="center"/>
        </w:trPr>
        <w:tc>
          <w:tcPr>
            <w:tcW w:w="4997" w:type="dxa"/>
            <w:tcBorders>
              <w:top w:val="single" w:color="c4d3d9" w:sz="7"/>
              <w:left w:val="single" w:color="c4d3d9" w:sz="7"/>
              <w:bottom w:val="single" w:color="c4d3d9" w:sz="7"/>
              <w:right w:val="single" w:color="c4d3d9" w:sz="7"/>
            </w:tcBorders>
            <w:shd w:color="000000" w:fill="eaf2f5"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b/>
                <w:color w:val="0A3946"/>
                <w:spacing w:val="0"/>
                <w:position w:val="0"/>
                <w:sz w:val="20"/>
                <w:shd w:fill="auto" w:val="clear"/>
              </w:rPr>
              <w:t xml:space="preserve">Business Unit</w:t>
            </w:r>
          </w:p>
        </w:tc>
        <w:tc>
          <w:tcPr>
            <w:tcW w:w="4997" w:type="dxa"/>
            <w:tcBorders>
              <w:top w:val="single" w:color="c4d3d9" w:sz="7"/>
              <w:left w:val="single" w:color="c4d3d9" w:sz="7"/>
              <w:bottom w:val="single" w:color="c4d3d9" w:sz="7"/>
              <w:right w:val="single" w:color="c4d3d9" w:sz="7"/>
            </w:tcBorders>
            <w:shd w:color="000000" w:fill="ffffff"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Client Services</w:t>
            </w:r>
          </w:p>
        </w:tc>
      </w:tr>
      <w:tr>
        <w:trPr>
          <w:trHeight w:val="1" w:hRule="atLeast"/>
          <w:jc w:val="center"/>
        </w:trPr>
        <w:tc>
          <w:tcPr>
            <w:tcW w:w="4997" w:type="dxa"/>
            <w:tcBorders>
              <w:top w:val="single" w:color="c4d3d9" w:sz="7"/>
              <w:left w:val="single" w:color="c4d3d9" w:sz="7"/>
              <w:bottom w:val="single" w:color="c4d3d9" w:sz="7"/>
              <w:right w:val="single" w:color="c4d3d9" w:sz="7"/>
            </w:tcBorders>
            <w:shd w:color="000000" w:fill="eaf2f5"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b/>
                <w:color w:val="0A3946"/>
                <w:spacing w:val="0"/>
                <w:position w:val="0"/>
                <w:sz w:val="20"/>
                <w:shd w:fill="auto" w:val="clear"/>
              </w:rPr>
              <w:t xml:space="preserve">Primary Users</w:t>
            </w:r>
          </w:p>
        </w:tc>
        <w:tc>
          <w:tcPr>
            <w:tcW w:w="4997" w:type="dxa"/>
            <w:tcBorders>
              <w:top w:val="single" w:color="c4d3d9" w:sz="7"/>
              <w:left w:val="single" w:color="c4d3d9" w:sz="7"/>
              <w:bottom w:val="single" w:color="c4d3d9" w:sz="7"/>
              <w:right w:val="single" w:color="c4d3d9" w:sz="7"/>
            </w:tcBorders>
            <w:shd w:color="000000" w:fill="ffffff"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External clients, contracted drone pilots, internal operations staff, finance and support teams</w:t>
            </w:r>
          </w:p>
        </w:tc>
      </w:tr>
      <w:tr>
        <w:trPr>
          <w:trHeight w:val="1" w:hRule="atLeast"/>
          <w:jc w:val="center"/>
        </w:trPr>
        <w:tc>
          <w:tcPr>
            <w:tcW w:w="4997" w:type="dxa"/>
            <w:tcBorders>
              <w:top w:val="single" w:color="c4d3d9" w:sz="7"/>
              <w:left w:val="single" w:color="c4d3d9" w:sz="7"/>
              <w:bottom w:val="single" w:color="c4d3d9" w:sz="7"/>
              <w:right w:val="single" w:color="c4d3d9" w:sz="7"/>
            </w:tcBorders>
            <w:shd w:color="000000" w:fill="eaf2f5"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b/>
                <w:color w:val="0A3946"/>
                <w:spacing w:val="0"/>
                <w:position w:val="0"/>
                <w:sz w:val="20"/>
                <w:shd w:fill="auto" w:val="clear"/>
              </w:rPr>
              <w:t xml:space="preserve">Channel</w:t>
            </w:r>
          </w:p>
        </w:tc>
        <w:tc>
          <w:tcPr>
            <w:tcW w:w="4997" w:type="dxa"/>
            <w:tcBorders>
              <w:top w:val="single" w:color="c4d3d9" w:sz="7"/>
              <w:left w:val="single" w:color="c4d3d9" w:sz="7"/>
              <w:bottom w:val="single" w:color="c4d3d9" w:sz="7"/>
              <w:right w:val="single" w:color="c4d3d9" w:sz="7"/>
            </w:tcBorders>
            <w:shd w:color="000000" w:fill="ffffff"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Company website and secure service portal</w:t>
            </w:r>
          </w:p>
        </w:tc>
      </w:tr>
      <w:tr>
        <w:trPr>
          <w:trHeight w:val="1" w:hRule="atLeast"/>
          <w:jc w:val="center"/>
        </w:trPr>
        <w:tc>
          <w:tcPr>
            <w:tcW w:w="4997" w:type="dxa"/>
            <w:tcBorders>
              <w:top w:val="single" w:color="c4d3d9" w:sz="7"/>
              <w:left w:val="single" w:color="c4d3d9" w:sz="7"/>
              <w:bottom w:val="single" w:color="c4d3d9" w:sz="7"/>
              <w:right w:val="single" w:color="c4d3d9" w:sz="7"/>
            </w:tcBorders>
            <w:shd w:color="000000" w:fill="eaf2f5"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b/>
                <w:color w:val="0A3946"/>
                <w:spacing w:val="0"/>
                <w:position w:val="0"/>
                <w:sz w:val="20"/>
                <w:shd w:fill="auto" w:val="clear"/>
              </w:rPr>
              <w:t xml:space="preserve">Core Outcome</w:t>
            </w:r>
          </w:p>
        </w:tc>
        <w:tc>
          <w:tcPr>
            <w:tcW w:w="4997" w:type="dxa"/>
            <w:tcBorders>
              <w:top w:val="single" w:color="c4d3d9" w:sz="7"/>
              <w:left w:val="single" w:color="c4d3d9" w:sz="7"/>
              <w:bottom w:val="single" w:color="c4d3d9" w:sz="7"/>
              <w:right w:val="single" w:color="c4d3d9" w:sz="7"/>
            </w:tcBorders>
            <w:shd w:color="000000" w:fill="ffffff"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A scalable marketplace for drone flight services and data analysis</w:t>
            </w:r>
          </w:p>
        </w:tc>
      </w:tr>
      <w:tr>
        <w:trPr>
          <w:trHeight w:val="1" w:hRule="atLeast"/>
          <w:jc w:val="center"/>
        </w:trPr>
        <w:tc>
          <w:tcPr>
            <w:tcW w:w="4997" w:type="dxa"/>
            <w:tcBorders>
              <w:top w:val="single" w:color="c4d3d9" w:sz="7"/>
              <w:left w:val="single" w:color="c4d3d9" w:sz="7"/>
              <w:bottom w:val="single" w:color="c4d3d9" w:sz="7"/>
              <w:right w:val="single" w:color="c4d3d9" w:sz="7"/>
            </w:tcBorders>
            <w:shd w:color="000000" w:fill="eaf2f5"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b/>
                <w:color w:val="0A3946"/>
                <w:spacing w:val="0"/>
                <w:position w:val="0"/>
                <w:sz w:val="20"/>
                <w:shd w:fill="auto" w:val="clear"/>
              </w:rPr>
              <w:t xml:space="preserve">Original Conservative Value</w:t>
            </w:r>
          </w:p>
        </w:tc>
        <w:tc>
          <w:tcPr>
            <w:tcW w:w="4997" w:type="dxa"/>
            <w:tcBorders>
              <w:top w:val="single" w:color="c4d3d9" w:sz="7"/>
              <w:left w:val="single" w:color="c4d3d9" w:sz="7"/>
              <w:bottom w:val="single" w:color="c4d3d9" w:sz="7"/>
              <w:right w:val="single" w:color="c4d3d9" w:sz="7"/>
            </w:tcBorders>
            <w:shd w:color="000000" w:fill="ffffff"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$357,500 from new pilot contracts and drone leases plus $565,000 from drone flight services and data analysis</w:t>
            </w:r>
          </w:p>
        </w:tc>
      </w:tr>
    </w:tbl>
    <w:p>
      <w:pPr>
        <w:spacing w:before="240" w:after="100" w:line="276"/>
        <w:ind w:right="0" w:left="0" w:firstLine="0"/>
        <w:jc w:val="left"/>
        <w:rPr>
          <w:rFonts w:ascii="Aptos" w:hAnsi="Aptos" w:cs="Aptos" w:eastAsia="Aptos"/>
          <w:color w:val="auto"/>
          <w:spacing w:val="0"/>
          <w:position w:val="0"/>
          <w:sz w:val="21"/>
          <w:shd w:fill="auto" w:val="clear"/>
        </w:rPr>
      </w:pPr>
      <w:r>
        <w:rPr>
          <w:rFonts w:ascii="Aptos Display" w:hAnsi="Aptos Display" w:cs="Aptos Display" w:eastAsia="Aptos Display"/>
          <w:b/>
          <w:color w:val="0A3946"/>
          <w:spacing w:val="0"/>
          <w:position w:val="0"/>
          <w:sz w:val="26"/>
          <w:shd w:fill="auto" w:val="clear"/>
        </w:rPr>
        <w:t xml:space="preserve">3. Business Need</w:t>
      </w:r>
    </w:p>
    <w:p>
      <w:pPr>
        <w:spacing w:before="0" w:after="80" w:line="269"/>
        <w:ind w:right="0" w:left="0" w:firstLine="0"/>
        <w:jc w:val="left"/>
        <w:rPr>
          <w:rFonts w:ascii="Aptos" w:hAnsi="Aptos" w:cs="Aptos" w:eastAsia="Aptos"/>
          <w:color w:val="auto"/>
          <w:spacing w:val="0"/>
          <w:position w:val="0"/>
          <w:sz w:val="21"/>
          <w:shd w:fill="auto" w:val="clear"/>
        </w:rPr>
      </w:pPr>
      <w:r>
        <w:rPr>
          <w:rFonts w:ascii="Aptos" w:hAnsi="Aptos" w:cs="Aptos" w:eastAsia="Aptos"/>
          <w:color w:val="22282D"/>
          <w:spacing w:val="0"/>
          <w:position w:val="0"/>
          <w:sz w:val="21"/>
          <w:shd w:fill="auto" w:val="clear"/>
        </w:rPr>
        <w:t xml:space="preserve">The business unit has been established to serve clients who need flight services and actionable drone-based analysis, but who do not require direct drone ownership. To support that model, the business needs a digital service platform capable of receiving requests, qualifying demand, distributing opportunities to pilots, selecting the best delivery resource, and returning client-ready outputs promptly and securely.</w:t>
      </w:r>
    </w:p>
    <w:p>
      <w:pPr>
        <w:spacing w:before="0" w:after="80" w:line="269"/>
        <w:ind w:right="0" w:left="0" w:firstLine="0"/>
        <w:jc w:val="left"/>
        <w:rPr>
          <w:rFonts w:ascii="Aptos" w:hAnsi="Aptos" w:cs="Aptos" w:eastAsia="Aptos"/>
          <w:color w:val="auto"/>
          <w:spacing w:val="0"/>
          <w:position w:val="0"/>
          <w:sz w:val="21"/>
          <w:shd w:fill="auto" w:val="clear"/>
        </w:rPr>
      </w:pPr>
      <w:r>
        <w:rPr>
          <w:rFonts w:ascii="Aptos" w:hAnsi="Aptos" w:cs="Aptos" w:eastAsia="Aptos"/>
          <w:color w:val="22282D"/>
          <w:spacing w:val="0"/>
          <w:position w:val="0"/>
          <w:sz w:val="21"/>
          <w:shd w:fill="auto" w:val="clear"/>
        </w:rPr>
        <w:t xml:space="preserve">Without a dedicated system, the new unit faces slower response times, inconsistent scoping, operational friction during pilot assignment, and limited ability to scale analytics-driven offerings.</w:t>
      </w:r>
    </w:p>
    <w:p>
      <w:pPr>
        <w:spacing w:before="240" w:after="100" w:line="276"/>
        <w:ind w:right="0" w:left="0" w:firstLine="0"/>
        <w:jc w:val="left"/>
        <w:rPr>
          <w:rFonts w:ascii="Aptos" w:hAnsi="Aptos" w:cs="Aptos" w:eastAsia="Aptos"/>
          <w:color w:val="auto"/>
          <w:spacing w:val="0"/>
          <w:position w:val="0"/>
          <w:sz w:val="21"/>
          <w:shd w:fill="auto" w:val="clear"/>
        </w:rPr>
      </w:pPr>
      <w:r>
        <w:rPr>
          <w:rFonts w:ascii="Aptos Display" w:hAnsi="Aptos Display" w:cs="Aptos Display" w:eastAsia="Aptos Display"/>
          <w:b/>
          <w:color w:val="0A3946"/>
          <w:spacing w:val="0"/>
          <w:position w:val="0"/>
          <w:sz w:val="26"/>
          <w:shd w:fill="auto" w:val="clear"/>
        </w:rPr>
        <w:t xml:space="preserve">4. Proposed Solution</w:t>
      </w:r>
    </w:p>
    <w:p>
      <w:pPr>
        <w:spacing w:before="0" w:after="80" w:line="269"/>
        <w:ind w:right="0" w:left="0" w:firstLine="0"/>
        <w:jc w:val="left"/>
        <w:rPr>
          <w:rFonts w:ascii="Aptos" w:hAnsi="Aptos" w:cs="Aptos" w:eastAsia="Aptos"/>
          <w:color w:val="auto"/>
          <w:spacing w:val="0"/>
          <w:position w:val="0"/>
          <w:sz w:val="21"/>
          <w:shd w:fill="auto" w:val="clear"/>
        </w:rPr>
      </w:pPr>
      <w:r>
        <w:rPr>
          <w:rFonts w:ascii="Aptos" w:hAnsi="Aptos" w:cs="Aptos" w:eastAsia="Aptos"/>
          <w:color w:val="22282D"/>
          <w:spacing w:val="0"/>
          <w:position w:val="0"/>
          <w:sz w:val="21"/>
          <w:shd w:fill="auto" w:val="clear"/>
        </w:rPr>
        <w:t xml:space="preserve">Deploy an AI-enhanced Client Services Platform with five integrated capability areas:</w:t>
      </w:r>
    </w:p>
    <w:p>
      <w:pPr>
        <w:numPr>
          <w:ilvl w:val="0"/>
          <w:numId w:val="27"/>
        </w:numPr>
        <w:tabs>
          <w:tab w:val="left" w:pos="360" w:leader="none"/>
        </w:tabs>
        <w:spacing w:before="0" w:after="40" w:line="259"/>
        <w:ind w:right="0" w:left="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Client request intake through a guided web experience and secure portal.</w:t>
      </w:r>
    </w:p>
    <w:p>
      <w:pPr>
        <w:numPr>
          <w:ilvl w:val="0"/>
          <w:numId w:val="27"/>
        </w:numPr>
        <w:tabs>
          <w:tab w:val="left" w:pos="360" w:leader="none"/>
        </w:tabs>
        <w:spacing w:before="0" w:after="40" w:line="259"/>
        <w:ind w:right="0" w:left="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Pilot marketplace workflow for bid distribution, ranking, assignment, and scheduling.</w:t>
      </w:r>
    </w:p>
    <w:p>
      <w:pPr>
        <w:numPr>
          <w:ilvl w:val="0"/>
          <w:numId w:val="27"/>
        </w:numPr>
        <w:tabs>
          <w:tab w:val="left" w:pos="360" w:leader="none"/>
        </w:tabs>
        <w:spacing w:before="0" w:after="40" w:line="259"/>
        <w:ind w:right="0" w:left="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AI Services Layer for request parsing, service recommendation, pricing guidance, pilot matching, risk checks, and report generation.</w:t>
      </w:r>
    </w:p>
    <w:p>
      <w:pPr>
        <w:numPr>
          <w:ilvl w:val="0"/>
          <w:numId w:val="27"/>
        </w:numPr>
        <w:tabs>
          <w:tab w:val="left" w:pos="360" w:leader="none"/>
        </w:tabs>
        <w:spacing w:before="0" w:after="40" w:line="259"/>
        <w:ind w:right="0" w:left="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Data processing and analytics workflow for imagery upload, analysis, deliverable packaging, and client download.</w:t>
      </w:r>
    </w:p>
    <w:p>
      <w:pPr>
        <w:numPr>
          <w:ilvl w:val="0"/>
          <w:numId w:val="27"/>
        </w:numPr>
        <w:tabs>
          <w:tab w:val="left" w:pos="360" w:leader="none"/>
        </w:tabs>
        <w:spacing w:before="0" w:after="40" w:line="259"/>
        <w:ind w:right="0" w:left="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Business operations controls for compliance, invoicing, notifications, SLA tracking, and audit history.</w:t>
      </w:r>
    </w:p>
    <w:p>
      <w:pPr>
        <w:spacing w:before="240" w:after="100" w:line="276"/>
        <w:ind w:right="0" w:left="0" w:firstLine="0"/>
        <w:jc w:val="left"/>
        <w:rPr>
          <w:rFonts w:ascii="Aptos" w:hAnsi="Aptos" w:cs="Aptos" w:eastAsia="Aptos"/>
          <w:color w:val="auto"/>
          <w:spacing w:val="0"/>
          <w:position w:val="0"/>
          <w:sz w:val="21"/>
          <w:shd w:fill="auto" w:val="clear"/>
        </w:rPr>
      </w:pPr>
      <w:r>
        <w:rPr>
          <w:rFonts w:ascii="Aptos Display" w:hAnsi="Aptos Display" w:cs="Aptos Display" w:eastAsia="Aptos Display"/>
          <w:b/>
          <w:color w:val="0A3946"/>
          <w:spacing w:val="0"/>
          <w:position w:val="0"/>
          <w:sz w:val="26"/>
          <w:shd w:fill="auto" w:val="clear"/>
        </w:rPr>
        <w:t xml:space="preserve">5. AI Enhancement Layer</w:t>
      </w:r>
    </w:p>
    <w:p>
      <w:pPr>
        <w:spacing w:before="0" w:after="80" w:line="269"/>
        <w:ind w:right="0" w:left="0" w:firstLine="0"/>
        <w:jc w:val="left"/>
        <w:rPr>
          <w:rFonts w:ascii="Aptos" w:hAnsi="Aptos" w:cs="Aptos" w:eastAsia="Aptos"/>
          <w:color w:val="auto"/>
          <w:spacing w:val="0"/>
          <w:position w:val="0"/>
          <w:sz w:val="21"/>
          <w:shd w:fill="auto" w:val="clear"/>
        </w:rPr>
      </w:pPr>
      <w:r>
        <w:rPr>
          <w:rFonts w:ascii="Aptos" w:hAnsi="Aptos" w:cs="Aptos" w:eastAsia="Aptos"/>
          <w:color w:val="22282D"/>
          <w:spacing w:val="0"/>
          <w:position w:val="0"/>
          <w:sz w:val="21"/>
          <w:shd w:fill="auto" w:val="clear"/>
        </w:rPr>
        <w:t xml:space="preserve">The AI layer should be introduced as a reusable platform service rather than a single feature. Recommended capabilities are listed below.</w:t>
      </w:r>
    </w:p>
    <w:tbl>
      <w:tblPr/>
      <w:tblGrid>
        <w:gridCol w:w="3331"/>
        <w:gridCol w:w="3331"/>
        <w:gridCol w:w="3331"/>
      </w:tblGrid>
      <w:tr>
        <w:trPr>
          <w:trHeight w:val="1" w:hRule="atLeast"/>
          <w:jc w:val="center"/>
        </w:trPr>
        <w:tc>
          <w:tcPr>
            <w:tcW w:w="3331" w:type="dxa"/>
            <w:tcBorders>
              <w:top w:val="single" w:color="c7d2d9" w:sz="7"/>
              <w:left w:val="single" w:color="c7d2d9" w:sz="7"/>
              <w:bottom w:val="single" w:color="c7d2d9" w:sz="7"/>
              <w:right w:val="single" w:color="c7d2d9" w:sz="7"/>
            </w:tcBorders>
            <w:shd w:color="000000" w:fill="d9eef3" w:val="clear"/>
            <w:tcMar>
              <w:left w:w="108" w:type="dxa"/>
              <w:right w:w="108" w:type="dxa"/>
            </w:tcMar>
            <w:vAlign w:val="center"/>
          </w:tcPr>
          <w:p>
            <w:pPr>
              <w:spacing w:before="0" w:after="0" w:line="276"/>
              <w:ind w:right="0" w:left="0" w:firstLine="0"/>
              <w:jc w:val="center"/>
              <w:rPr>
                <w:spacing w:val="0"/>
                <w:position w:val="0"/>
                <w:shd w:fill="auto" w:val="clear"/>
              </w:rPr>
            </w:pPr>
            <w:r>
              <w:rPr>
                <w:rFonts w:ascii="Aptos" w:hAnsi="Aptos" w:cs="Aptos" w:eastAsia="Aptos"/>
                <w:b/>
                <w:color w:val="0A3946"/>
                <w:spacing w:val="0"/>
                <w:position w:val="0"/>
                <w:sz w:val="20"/>
                <w:shd w:fill="auto" w:val="clear"/>
              </w:rPr>
              <w:t xml:space="preserve">AI capability</w:t>
            </w:r>
          </w:p>
        </w:tc>
        <w:tc>
          <w:tcPr>
            <w:tcW w:w="3331" w:type="dxa"/>
            <w:tcBorders>
              <w:top w:val="single" w:color="c7d2d9" w:sz="7"/>
              <w:left w:val="single" w:color="c7d2d9" w:sz="7"/>
              <w:bottom w:val="single" w:color="c7d2d9" w:sz="7"/>
              <w:right w:val="single" w:color="c7d2d9" w:sz="7"/>
            </w:tcBorders>
            <w:shd w:color="000000" w:fill="d9eef3" w:val="clear"/>
            <w:tcMar>
              <w:left w:w="108" w:type="dxa"/>
              <w:right w:w="108" w:type="dxa"/>
            </w:tcMar>
            <w:vAlign w:val="center"/>
          </w:tcPr>
          <w:p>
            <w:pPr>
              <w:spacing w:before="0" w:after="0" w:line="276"/>
              <w:ind w:right="0" w:left="0" w:firstLine="0"/>
              <w:jc w:val="center"/>
              <w:rPr>
                <w:spacing w:val="0"/>
                <w:position w:val="0"/>
                <w:shd w:fill="auto" w:val="clear"/>
              </w:rPr>
            </w:pPr>
            <w:r>
              <w:rPr>
                <w:rFonts w:ascii="Aptos" w:hAnsi="Aptos" w:cs="Aptos" w:eastAsia="Aptos"/>
                <w:b/>
                <w:color w:val="0A3946"/>
                <w:spacing w:val="0"/>
                <w:position w:val="0"/>
                <w:sz w:val="20"/>
                <w:shd w:fill="auto" w:val="clear"/>
              </w:rPr>
              <w:t xml:space="preserve">Primary function</w:t>
            </w:r>
          </w:p>
        </w:tc>
        <w:tc>
          <w:tcPr>
            <w:tcW w:w="3331" w:type="dxa"/>
            <w:tcBorders>
              <w:top w:val="single" w:color="c7d2d9" w:sz="7"/>
              <w:left w:val="single" w:color="c7d2d9" w:sz="7"/>
              <w:bottom w:val="single" w:color="c7d2d9" w:sz="7"/>
              <w:right w:val="single" w:color="c7d2d9" w:sz="7"/>
            </w:tcBorders>
            <w:shd w:color="000000" w:fill="d9eef3" w:val="clear"/>
            <w:tcMar>
              <w:left w:w="108" w:type="dxa"/>
              <w:right w:w="108" w:type="dxa"/>
            </w:tcMar>
            <w:vAlign w:val="center"/>
          </w:tcPr>
          <w:p>
            <w:pPr>
              <w:spacing w:before="0" w:after="0" w:line="276"/>
              <w:ind w:right="0" w:left="0" w:firstLine="0"/>
              <w:jc w:val="center"/>
              <w:rPr>
                <w:spacing w:val="0"/>
                <w:position w:val="0"/>
                <w:shd w:fill="auto" w:val="clear"/>
              </w:rPr>
            </w:pPr>
            <w:r>
              <w:rPr>
                <w:rFonts w:ascii="Aptos" w:hAnsi="Aptos" w:cs="Aptos" w:eastAsia="Aptos"/>
                <w:b/>
                <w:color w:val="0A3946"/>
                <w:spacing w:val="0"/>
                <w:position w:val="0"/>
                <w:sz w:val="20"/>
                <w:shd w:fill="auto" w:val="clear"/>
              </w:rPr>
              <w:t xml:space="preserve">Business value</w:t>
            </w:r>
          </w:p>
        </w:tc>
      </w:tr>
      <w:tr>
        <w:trPr>
          <w:trHeight w:val="1" w:hRule="atLeast"/>
          <w:jc w:val="center"/>
        </w:trPr>
        <w:tc>
          <w:tcPr>
            <w:tcW w:w="3331"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Smart intake</w:t>
            </w:r>
          </w:p>
        </w:tc>
        <w:tc>
          <w:tcPr>
            <w:tcW w:w="3331"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Convert plain-language client requests into structured job requirements.</w:t>
            </w:r>
          </w:p>
        </w:tc>
        <w:tc>
          <w:tcPr>
            <w:tcW w:w="3331"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Fewer incomplete requests; better first-pass scoping</w:t>
            </w:r>
          </w:p>
        </w:tc>
      </w:tr>
      <w:tr>
        <w:trPr>
          <w:trHeight w:val="1" w:hRule="atLeast"/>
          <w:jc w:val="center"/>
        </w:trPr>
        <w:tc>
          <w:tcPr>
            <w:tcW w:w="3331" w:type="dxa"/>
            <w:tcBorders>
              <w:top w:val="single" w:color="c7d2d9" w:sz="7"/>
              <w:left w:val="single" w:color="c7d2d9" w:sz="7"/>
              <w:bottom w:val="single" w:color="c7d2d9" w:sz="7"/>
              <w:right w:val="single" w:color="c7d2d9" w:sz="7"/>
            </w:tcBorders>
            <w:shd w:color="000000" w:fill="ffffff" w:val="clear"/>
            <w:tcMar>
              <w:left w:w="108" w:type="dxa"/>
              <w:right w:w="108" w:type="dxa"/>
            </w:tcMar>
            <w:vAlign w:val="center"/>
          </w:tcPr>
          <w:p>
            <w:pPr>
              <w:spacing w:before="0" w:after="0" w:line="245"/>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Service recommendation</w:t>
            </w:r>
          </w:p>
        </w:tc>
        <w:tc>
          <w:tcPr>
            <w:tcW w:w="3331" w:type="dxa"/>
            <w:tcBorders>
              <w:top w:val="single" w:color="c7d2d9" w:sz="7"/>
              <w:left w:val="single" w:color="c7d2d9" w:sz="7"/>
              <w:bottom w:val="single" w:color="c7d2d9" w:sz="7"/>
              <w:right w:val="single" w:color="c7d2d9" w:sz="7"/>
            </w:tcBorders>
            <w:shd w:color="000000" w:fill="ffffff"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Suggest the most suitable package, deliverables, and optional add-ons.</w:t>
            </w:r>
          </w:p>
        </w:tc>
        <w:tc>
          <w:tcPr>
            <w:tcW w:w="3331" w:type="dxa"/>
            <w:tcBorders>
              <w:top w:val="single" w:color="c7d2d9" w:sz="7"/>
              <w:left w:val="single" w:color="c7d2d9" w:sz="7"/>
              <w:bottom w:val="single" w:color="c7d2d9" w:sz="7"/>
              <w:right w:val="single" w:color="c7d2d9" w:sz="7"/>
            </w:tcBorders>
            <w:shd w:color="000000" w:fill="ffffff"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Higher conversion and upsell</w:t>
            </w:r>
          </w:p>
        </w:tc>
      </w:tr>
      <w:tr>
        <w:trPr>
          <w:trHeight w:val="1" w:hRule="atLeast"/>
          <w:jc w:val="center"/>
        </w:trPr>
        <w:tc>
          <w:tcPr>
            <w:tcW w:w="3331"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Pilot matching</w:t>
            </w:r>
          </w:p>
        </w:tc>
        <w:tc>
          <w:tcPr>
            <w:tcW w:w="3331"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Rank pilots by proximity, certification, equipment, availability, performance, and cost fit.</w:t>
            </w:r>
          </w:p>
        </w:tc>
        <w:tc>
          <w:tcPr>
            <w:tcW w:w="3331"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Faster assignment and higher service quality</w:t>
            </w:r>
          </w:p>
        </w:tc>
      </w:tr>
      <w:tr>
        <w:trPr>
          <w:trHeight w:val="1" w:hRule="atLeast"/>
          <w:jc w:val="center"/>
        </w:trPr>
        <w:tc>
          <w:tcPr>
            <w:tcW w:w="3331" w:type="dxa"/>
            <w:tcBorders>
              <w:top w:val="single" w:color="c7d2d9" w:sz="7"/>
              <w:left w:val="single" w:color="c7d2d9" w:sz="7"/>
              <w:bottom w:val="single" w:color="c7d2d9" w:sz="7"/>
              <w:right w:val="single" w:color="c7d2d9" w:sz="7"/>
            </w:tcBorders>
            <w:shd w:color="000000" w:fill="ffffff" w:val="clear"/>
            <w:tcMar>
              <w:left w:w="108" w:type="dxa"/>
              <w:right w:w="108" w:type="dxa"/>
            </w:tcMar>
            <w:vAlign w:val="center"/>
          </w:tcPr>
          <w:p>
            <w:pPr>
              <w:spacing w:before="0" w:after="0" w:line="245"/>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Pricing guidance</w:t>
            </w:r>
          </w:p>
        </w:tc>
        <w:tc>
          <w:tcPr>
            <w:tcW w:w="3331" w:type="dxa"/>
            <w:tcBorders>
              <w:top w:val="single" w:color="c7d2d9" w:sz="7"/>
              <w:left w:val="single" w:color="c7d2d9" w:sz="7"/>
              <w:bottom w:val="single" w:color="c7d2d9" w:sz="7"/>
              <w:right w:val="single" w:color="c7d2d9" w:sz="7"/>
            </w:tcBorders>
            <w:shd w:color="000000" w:fill="ffffff"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Recommend price ranges from job complexity, location, history, and urgency.</w:t>
            </w:r>
          </w:p>
        </w:tc>
        <w:tc>
          <w:tcPr>
            <w:tcW w:w="3331" w:type="dxa"/>
            <w:tcBorders>
              <w:top w:val="single" w:color="c7d2d9" w:sz="7"/>
              <w:left w:val="single" w:color="c7d2d9" w:sz="7"/>
              <w:bottom w:val="single" w:color="c7d2d9" w:sz="7"/>
              <w:right w:val="single" w:color="c7d2d9" w:sz="7"/>
            </w:tcBorders>
            <w:shd w:color="000000" w:fill="ffffff"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Better margin discipline and bid consistency</w:t>
            </w:r>
          </w:p>
        </w:tc>
      </w:tr>
      <w:tr>
        <w:trPr>
          <w:trHeight w:val="1" w:hRule="atLeast"/>
          <w:jc w:val="center"/>
        </w:trPr>
        <w:tc>
          <w:tcPr>
            <w:tcW w:w="3331"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Risk and feasibility scoring</w:t>
            </w:r>
          </w:p>
        </w:tc>
        <w:tc>
          <w:tcPr>
            <w:tcW w:w="3331"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Check weather, airspace, travel burden, and permit needs before release to market.</w:t>
            </w:r>
          </w:p>
        </w:tc>
        <w:tc>
          <w:tcPr>
            <w:tcW w:w="3331"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Lower operational risk and fewer failed jobs</w:t>
            </w:r>
          </w:p>
        </w:tc>
      </w:tr>
      <w:tr>
        <w:trPr>
          <w:trHeight w:val="1" w:hRule="atLeast"/>
          <w:jc w:val="center"/>
        </w:trPr>
        <w:tc>
          <w:tcPr>
            <w:tcW w:w="3331" w:type="dxa"/>
            <w:tcBorders>
              <w:top w:val="single" w:color="c7d2d9" w:sz="7"/>
              <w:left w:val="single" w:color="c7d2d9" w:sz="7"/>
              <w:bottom w:val="single" w:color="c7d2d9" w:sz="7"/>
              <w:right w:val="single" w:color="c7d2d9" w:sz="7"/>
            </w:tcBorders>
            <w:shd w:color="000000" w:fill="ffffff" w:val="clear"/>
            <w:tcMar>
              <w:left w:w="108" w:type="dxa"/>
              <w:right w:w="108" w:type="dxa"/>
            </w:tcMar>
            <w:vAlign w:val="center"/>
          </w:tcPr>
          <w:p>
            <w:pPr>
              <w:spacing w:before="0" w:after="0" w:line="245"/>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Automated analytics</w:t>
            </w:r>
          </w:p>
        </w:tc>
        <w:tc>
          <w:tcPr>
            <w:tcW w:w="3331" w:type="dxa"/>
            <w:tcBorders>
              <w:top w:val="single" w:color="c7d2d9" w:sz="7"/>
              <w:left w:val="single" w:color="c7d2d9" w:sz="7"/>
              <w:bottom w:val="single" w:color="c7d2d9" w:sz="7"/>
              <w:right w:val="single" w:color="c7d2d9" w:sz="7"/>
            </w:tcBorders>
            <w:shd w:color="000000" w:fill="ffffff"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Detect anomalies, changes, counts, or trends from captured imagery and sensor data.</w:t>
            </w:r>
          </w:p>
        </w:tc>
        <w:tc>
          <w:tcPr>
            <w:tcW w:w="3331" w:type="dxa"/>
            <w:tcBorders>
              <w:top w:val="single" w:color="c7d2d9" w:sz="7"/>
              <w:left w:val="single" w:color="c7d2d9" w:sz="7"/>
              <w:bottom w:val="single" w:color="c7d2d9" w:sz="7"/>
              <w:right w:val="single" w:color="c7d2d9" w:sz="7"/>
            </w:tcBorders>
            <w:shd w:color="000000" w:fill="ffffff"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Higher-value outputs and analytics revenue</w:t>
            </w:r>
          </w:p>
        </w:tc>
      </w:tr>
      <w:tr>
        <w:trPr>
          <w:trHeight w:val="1" w:hRule="atLeast"/>
          <w:jc w:val="center"/>
        </w:trPr>
        <w:tc>
          <w:tcPr>
            <w:tcW w:w="3331"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Report generation</w:t>
            </w:r>
          </w:p>
        </w:tc>
        <w:tc>
          <w:tcPr>
            <w:tcW w:w="3331"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Draft client-ready summaries, findings, and recommended next actions.</w:t>
            </w:r>
          </w:p>
        </w:tc>
        <w:tc>
          <w:tcPr>
            <w:tcW w:w="3331"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Shorter turnaround time and stronger client experience</w:t>
            </w:r>
          </w:p>
        </w:tc>
      </w:tr>
    </w:tbl>
    <w:p>
      <w:pPr>
        <w:spacing w:before="240" w:after="100" w:line="276"/>
        <w:ind w:right="0" w:left="0" w:firstLine="0"/>
        <w:jc w:val="left"/>
        <w:rPr>
          <w:rFonts w:ascii="Aptos" w:hAnsi="Aptos" w:cs="Aptos" w:eastAsia="Aptos"/>
          <w:color w:val="auto"/>
          <w:spacing w:val="0"/>
          <w:position w:val="0"/>
          <w:sz w:val="21"/>
          <w:shd w:fill="auto" w:val="clear"/>
        </w:rPr>
      </w:pPr>
      <w:r>
        <w:rPr>
          <w:rFonts w:ascii="Aptos Display" w:hAnsi="Aptos Display" w:cs="Aptos Display" w:eastAsia="Aptos Display"/>
          <w:b/>
          <w:color w:val="0A3946"/>
          <w:spacing w:val="0"/>
          <w:position w:val="0"/>
          <w:sz w:val="26"/>
          <w:shd w:fill="auto" w:val="clear"/>
        </w:rPr>
        <w:t xml:space="preserve">6. High-Level Business Requirements</w:t>
      </w:r>
    </w:p>
    <w:p>
      <w:pPr>
        <w:numPr>
          <w:ilvl w:val="0"/>
          <w:numId w:val="62"/>
        </w:numPr>
        <w:tabs>
          <w:tab w:val="left" w:pos="360" w:leader="none"/>
        </w:tabs>
        <w:spacing w:before="0" w:after="60" w:line="259"/>
        <w:ind w:right="0" w:left="36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The system shall enable clients to submit service requests through the company website using a guided intake flow or free-text description.</w:t>
      </w:r>
    </w:p>
    <w:p>
      <w:pPr>
        <w:numPr>
          <w:ilvl w:val="0"/>
          <w:numId w:val="62"/>
        </w:numPr>
        <w:tabs>
          <w:tab w:val="left" w:pos="360" w:leader="none"/>
        </w:tabs>
        <w:spacing w:before="0" w:after="60" w:line="259"/>
        <w:ind w:right="0" w:left="36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The system shall convert submitted requests into structured mission details including location, service objective, schedule window, deliverables, and urgency.</w:t>
      </w:r>
    </w:p>
    <w:p>
      <w:pPr>
        <w:numPr>
          <w:ilvl w:val="0"/>
          <w:numId w:val="62"/>
        </w:numPr>
        <w:tabs>
          <w:tab w:val="left" w:pos="360" w:leader="none"/>
        </w:tabs>
        <w:spacing w:before="0" w:after="60" w:line="259"/>
        <w:ind w:right="0" w:left="36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The system shall make eligible requests available to qualified contracted pilots during a configurable bidding window.</w:t>
      </w:r>
    </w:p>
    <w:p>
      <w:pPr>
        <w:numPr>
          <w:ilvl w:val="0"/>
          <w:numId w:val="62"/>
        </w:numPr>
        <w:tabs>
          <w:tab w:val="left" w:pos="360" w:leader="none"/>
        </w:tabs>
        <w:spacing w:before="0" w:after="60" w:line="259"/>
        <w:ind w:right="0" w:left="36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The system shall support AI-assisted pilot ranking based on proximity, capability, certifications, equipment fit, performance history, and estimated cost competitiveness.</w:t>
      </w:r>
    </w:p>
    <w:p>
      <w:pPr>
        <w:numPr>
          <w:ilvl w:val="0"/>
          <w:numId w:val="62"/>
        </w:numPr>
        <w:tabs>
          <w:tab w:val="left" w:pos="360" w:leader="none"/>
        </w:tabs>
        <w:spacing w:before="0" w:after="60" w:line="259"/>
        <w:ind w:right="0" w:left="36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The system shall provide AI-assisted pricing guidance to internal staff and, where appropriate, to pilots responding to bids.</w:t>
      </w:r>
    </w:p>
    <w:p>
      <w:pPr>
        <w:numPr>
          <w:ilvl w:val="0"/>
          <w:numId w:val="62"/>
        </w:numPr>
        <w:tabs>
          <w:tab w:val="left" w:pos="360" w:leader="none"/>
        </w:tabs>
        <w:spacing w:before="0" w:after="60" w:line="259"/>
        <w:ind w:right="0" w:left="36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The system shall assess mission feasibility using weather, airspace, safety, travel, and permit considerations before final assignment.</w:t>
      </w:r>
    </w:p>
    <w:p>
      <w:pPr>
        <w:numPr>
          <w:ilvl w:val="0"/>
          <w:numId w:val="62"/>
        </w:numPr>
        <w:tabs>
          <w:tab w:val="left" w:pos="360" w:leader="none"/>
        </w:tabs>
        <w:spacing w:before="0" w:after="60" w:line="259"/>
        <w:ind w:right="0" w:left="36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The system shall allow internal staff to approve, reject, or manually override AI recommendations for high-impact decisions.</w:t>
      </w:r>
    </w:p>
    <w:p>
      <w:pPr>
        <w:numPr>
          <w:ilvl w:val="0"/>
          <w:numId w:val="62"/>
        </w:numPr>
        <w:tabs>
          <w:tab w:val="left" w:pos="360" w:leader="none"/>
        </w:tabs>
        <w:spacing w:before="0" w:after="60" w:line="259"/>
        <w:ind w:right="0" w:left="36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The system shall store uploaded imagery and analysis outputs in a secure client portal with role-based access control and full audit history.</w:t>
      </w:r>
    </w:p>
    <w:p>
      <w:pPr>
        <w:numPr>
          <w:ilvl w:val="0"/>
          <w:numId w:val="62"/>
        </w:numPr>
        <w:tabs>
          <w:tab w:val="left" w:pos="360" w:leader="none"/>
        </w:tabs>
        <w:spacing w:before="0" w:after="60" w:line="259"/>
        <w:ind w:right="0" w:left="36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The system shall support automated or analyst-reviewed image interpretation and report generation for client delivery.</w:t>
      </w:r>
    </w:p>
    <w:p>
      <w:pPr>
        <w:numPr>
          <w:ilvl w:val="0"/>
          <w:numId w:val="62"/>
        </w:numPr>
        <w:tabs>
          <w:tab w:val="left" w:pos="360" w:leader="none"/>
        </w:tabs>
        <w:spacing w:before="0" w:after="60" w:line="259"/>
        <w:ind w:right="0" w:left="36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The system shall provide notifications, scheduling updates, status tracking, and SLA alerts for clients, pilots, and operations personnel.</w:t>
      </w:r>
    </w:p>
    <w:p>
      <w:pPr>
        <w:numPr>
          <w:ilvl w:val="0"/>
          <w:numId w:val="62"/>
        </w:numPr>
        <w:tabs>
          <w:tab w:val="left" w:pos="360" w:leader="none"/>
        </w:tabs>
        <w:spacing w:before="0" w:after="60" w:line="259"/>
        <w:ind w:right="0" w:left="36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The system shall manage payment, invoicing, and delivery confirmation workflows for completed jobs.</w:t>
      </w:r>
    </w:p>
    <w:p>
      <w:pPr>
        <w:numPr>
          <w:ilvl w:val="0"/>
          <w:numId w:val="62"/>
        </w:numPr>
        <w:tabs>
          <w:tab w:val="left" w:pos="360" w:leader="none"/>
        </w:tabs>
        <w:spacing w:before="0" w:after="60" w:line="259"/>
        <w:ind w:right="0" w:left="36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The system shall maintain compliance records for pilot credentials, insurance, waivers, and customer approvals.</w:t>
      </w:r>
    </w:p>
    <w:p>
      <w:pPr>
        <w:spacing w:before="240" w:after="100" w:line="276"/>
        <w:ind w:right="0" w:left="0" w:firstLine="0"/>
        <w:jc w:val="left"/>
        <w:rPr>
          <w:rFonts w:ascii="Aptos" w:hAnsi="Aptos" w:cs="Aptos" w:eastAsia="Aptos"/>
          <w:color w:val="auto"/>
          <w:spacing w:val="0"/>
          <w:position w:val="0"/>
          <w:sz w:val="21"/>
          <w:shd w:fill="auto" w:val="clear"/>
        </w:rPr>
      </w:pPr>
      <w:r>
        <w:rPr>
          <w:rFonts w:ascii="Aptos Display" w:hAnsi="Aptos Display" w:cs="Aptos Display" w:eastAsia="Aptos Display"/>
          <w:b/>
          <w:color w:val="0A3946"/>
          <w:spacing w:val="0"/>
          <w:position w:val="0"/>
          <w:sz w:val="26"/>
          <w:shd w:fill="auto" w:val="clear"/>
        </w:rPr>
        <w:t xml:space="preserve">7. Recommended Scope</w:t>
      </w:r>
    </w:p>
    <w:tbl>
      <w:tblPr/>
      <w:tblGrid>
        <w:gridCol w:w="4997"/>
        <w:gridCol w:w="4997"/>
      </w:tblGrid>
      <w:tr>
        <w:trPr>
          <w:trHeight w:val="1" w:hRule="atLeast"/>
          <w:jc w:val="center"/>
        </w:trPr>
        <w:tc>
          <w:tcPr>
            <w:tcW w:w="4997" w:type="dxa"/>
            <w:tcBorders>
              <w:top w:val="single" w:color="c4d3d9" w:sz="7"/>
              <w:left w:val="single" w:color="c4d3d9" w:sz="7"/>
              <w:bottom w:val="single" w:color="c4d3d9" w:sz="7"/>
              <w:right w:val="single" w:color="c4d3d9" w:sz="7"/>
            </w:tcBorders>
            <w:shd w:color="000000" w:fill="eaf2f5"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b/>
                <w:color w:val="0A3946"/>
                <w:spacing w:val="0"/>
                <w:position w:val="0"/>
                <w:sz w:val="20"/>
                <w:shd w:fill="auto" w:val="clear"/>
              </w:rPr>
              <w:t xml:space="preserve">In scope</w:t>
            </w:r>
          </w:p>
        </w:tc>
        <w:tc>
          <w:tcPr>
            <w:tcW w:w="4997" w:type="dxa"/>
            <w:tcBorders>
              <w:top w:val="single" w:color="c4d3d9" w:sz="7"/>
              <w:left w:val="single" w:color="c4d3d9" w:sz="7"/>
              <w:bottom w:val="single" w:color="c4d3d9" w:sz="7"/>
              <w:right w:val="single" w:color="c4d3d9" w:sz="7"/>
            </w:tcBorders>
            <w:shd w:color="000000" w:fill="ffffff"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Client request portal, pilot bidding workflow, assignment and scheduling, AI intake, pricing guidance, pilot ranking, report generation, secure deliverables portal, notifications, invoicing, compliance records</w:t>
            </w:r>
          </w:p>
        </w:tc>
      </w:tr>
      <w:tr>
        <w:trPr>
          <w:trHeight w:val="1" w:hRule="atLeast"/>
          <w:jc w:val="center"/>
        </w:trPr>
        <w:tc>
          <w:tcPr>
            <w:tcW w:w="4997" w:type="dxa"/>
            <w:tcBorders>
              <w:top w:val="single" w:color="c4d3d9" w:sz="7"/>
              <w:left w:val="single" w:color="c4d3d9" w:sz="7"/>
              <w:bottom w:val="single" w:color="c4d3d9" w:sz="7"/>
              <w:right w:val="single" w:color="c4d3d9" w:sz="7"/>
            </w:tcBorders>
            <w:shd w:color="000000" w:fill="eaf2f5"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b/>
                <w:color w:val="0A3946"/>
                <w:spacing w:val="0"/>
                <w:position w:val="0"/>
                <w:sz w:val="20"/>
                <w:shd w:fill="auto" w:val="clear"/>
              </w:rPr>
              <w:t xml:space="preserve">Out of scope for initial release</w:t>
            </w:r>
          </w:p>
        </w:tc>
        <w:tc>
          <w:tcPr>
            <w:tcW w:w="4997" w:type="dxa"/>
            <w:tcBorders>
              <w:top w:val="single" w:color="c4d3d9" w:sz="7"/>
              <w:left w:val="single" w:color="c4d3d9" w:sz="7"/>
              <w:bottom w:val="single" w:color="c4d3d9" w:sz="7"/>
              <w:right w:val="single" w:color="c4d3d9" w:sz="7"/>
            </w:tcBorders>
            <w:shd w:color="000000" w:fill="ffffff"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Autonomous flight control, hardware manufacturing, advanced ERP replacement, custom client machine-learning model training, full predictive maintenance suite</w:t>
            </w:r>
          </w:p>
        </w:tc>
      </w:tr>
    </w:tbl>
    <w:p>
      <w:pPr>
        <w:spacing w:before="240" w:after="100" w:line="276"/>
        <w:ind w:right="0" w:left="0" w:firstLine="0"/>
        <w:jc w:val="left"/>
        <w:rPr>
          <w:rFonts w:ascii="Aptos" w:hAnsi="Aptos" w:cs="Aptos" w:eastAsia="Aptos"/>
          <w:color w:val="auto"/>
          <w:spacing w:val="0"/>
          <w:position w:val="0"/>
          <w:sz w:val="21"/>
          <w:shd w:fill="auto" w:val="clear"/>
        </w:rPr>
      </w:pPr>
      <w:r>
        <w:rPr>
          <w:rFonts w:ascii="Aptos Display" w:hAnsi="Aptos Display" w:cs="Aptos Display" w:eastAsia="Aptos Display"/>
          <w:b/>
          <w:color w:val="0A3946"/>
          <w:spacing w:val="0"/>
          <w:position w:val="0"/>
          <w:sz w:val="26"/>
          <w:shd w:fill="auto" w:val="clear"/>
        </w:rPr>
        <w:t xml:space="preserve">8. Business Value</w:t>
      </w:r>
    </w:p>
    <w:p>
      <w:pPr>
        <w:spacing w:before="0" w:after="80" w:line="269"/>
        <w:ind w:right="0" w:left="0" w:firstLine="0"/>
        <w:jc w:val="left"/>
        <w:rPr>
          <w:rFonts w:ascii="Aptos" w:hAnsi="Aptos" w:cs="Aptos" w:eastAsia="Aptos"/>
          <w:color w:val="auto"/>
          <w:spacing w:val="0"/>
          <w:position w:val="0"/>
          <w:sz w:val="21"/>
          <w:shd w:fill="auto" w:val="clear"/>
        </w:rPr>
      </w:pPr>
      <w:r>
        <w:rPr>
          <w:rFonts w:ascii="Aptos" w:hAnsi="Aptos" w:cs="Aptos" w:eastAsia="Aptos"/>
          <w:color w:val="22282D"/>
          <w:spacing w:val="0"/>
          <w:position w:val="0"/>
          <w:sz w:val="21"/>
          <w:shd w:fill="auto" w:val="clear"/>
        </w:rPr>
        <w:t xml:space="preserve">The original business case identified conservative annual tangible value of $922,500, composed of $357,500 from new pilot contracts and drone leases and $565,000 from drone flight services and data analysis.</w:t>
      </w:r>
    </w:p>
    <w:p>
      <w:pPr>
        <w:spacing w:before="0" w:after="80" w:line="269"/>
        <w:ind w:right="0" w:left="0" w:firstLine="0"/>
        <w:jc w:val="left"/>
        <w:rPr>
          <w:rFonts w:ascii="Aptos" w:hAnsi="Aptos" w:cs="Aptos" w:eastAsia="Aptos"/>
          <w:color w:val="auto"/>
          <w:spacing w:val="0"/>
          <w:position w:val="0"/>
          <w:sz w:val="21"/>
          <w:shd w:fill="auto" w:val="clear"/>
        </w:rPr>
      </w:pPr>
      <w:r>
        <w:rPr>
          <w:rFonts w:ascii="Aptos" w:hAnsi="Aptos" w:cs="Aptos" w:eastAsia="Aptos"/>
          <w:color w:val="22282D"/>
          <w:spacing w:val="0"/>
          <w:position w:val="0"/>
          <w:sz w:val="21"/>
          <w:shd w:fill="auto" w:val="clear"/>
        </w:rPr>
        <w:t xml:space="preserve">The AI-enhanced version of the platform increases revenue potential in three ways: better client conversion through guided scoping, higher attachment of premium analytics and reporting, and recurring subscription-style monitoring services for repeat customers.</w:t>
      </w:r>
    </w:p>
    <w:tbl>
      <w:tblPr/>
      <w:tblGrid>
        <w:gridCol w:w="4997"/>
        <w:gridCol w:w="4997"/>
      </w:tblGrid>
      <w:tr>
        <w:trPr>
          <w:trHeight w:val="1" w:hRule="atLeast"/>
          <w:jc w:val="center"/>
        </w:trPr>
        <w:tc>
          <w:tcPr>
            <w:tcW w:w="4997" w:type="dxa"/>
            <w:tcBorders>
              <w:top w:val="single" w:color="c7d2d9" w:sz="7"/>
              <w:left w:val="single" w:color="c7d2d9" w:sz="7"/>
              <w:bottom w:val="single" w:color="c7d2d9" w:sz="7"/>
              <w:right w:val="single" w:color="c7d2d9" w:sz="7"/>
            </w:tcBorders>
            <w:shd w:color="000000" w:fill="d9eef3" w:val="clear"/>
            <w:tcMar>
              <w:left w:w="108" w:type="dxa"/>
              <w:right w:w="108" w:type="dxa"/>
            </w:tcMar>
            <w:vAlign w:val="center"/>
          </w:tcPr>
          <w:p>
            <w:pPr>
              <w:spacing w:before="0" w:after="0" w:line="276"/>
              <w:ind w:right="0" w:left="0" w:firstLine="0"/>
              <w:jc w:val="center"/>
              <w:rPr>
                <w:spacing w:val="0"/>
                <w:position w:val="0"/>
                <w:shd w:fill="auto" w:val="clear"/>
              </w:rPr>
            </w:pPr>
            <w:r>
              <w:rPr>
                <w:rFonts w:ascii="Aptos" w:hAnsi="Aptos" w:cs="Aptos" w:eastAsia="Aptos"/>
                <w:b/>
                <w:color w:val="0A3946"/>
                <w:spacing w:val="0"/>
                <w:position w:val="0"/>
                <w:sz w:val="20"/>
                <w:shd w:fill="auto" w:val="clear"/>
              </w:rPr>
              <w:t xml:space="preserve">Value driver</w:t>
            </w:r>
          </w:p>
        </w:tc>
        <w:tc>
          <w:tcPr>
            <w:tcW w:w="4997" w:type="dxa"/>
            <w:tcBorders>
              <w:top w:val="single" w:color="c7d2d9" w:sz="7"/>
              <w:left w:val="single" w:color="c7d2d9" w:sz="7"/>
              <w:bottom w:val="single" w:color="c7d2d9" w:sz="7"/>
              <w:right w:val="single" w:color="c7d2d9" w:sz="7"/>
            </w:tcBorders>
            <w:shd w:color="000000" w:fill="d9eef3" w:val="clear"/>
            <w:tcMar>
              <w:left w:w="108" w:type="dxa"/>
              <w:right w:w="108" w:type="dxa"/>
            </w:tcMar>
            <w:vAlign w:val="center"/>
          </w:tcPr>
          <w:p>
            <w:pPr>
              <w:spacing w:before="0" w:after="0" w:line="276"/>
              <w:ind w:right="0" w:left="0" w:firstLine="0"/>
              <w:jc w:val="center"/>
              <w:rPr>
                <w:spacing w:val="0"/>
                <w:position w:val="0"/>
                <w:shd w:fill="auto" w:val="clear"/>
              </w:rPr>
            </w:pPr>
            <w:r>
              <w:rPr>
                <w:rFonts w:ascii="Aptos" w:hAnsi="Aptos" w:cs="Aptos" w:eastAsia="Aptos"/>
                <w:b/>
                <w:color w:val="0A3946"/>
                <w:spacing w:val="0"/>
                <w:position w:val="0"/>
                <w:sz w:val="20"/>
                <w:shd w:fill="auto" w:val="clear"/>
              </w:rPr>
              <w:t xml:space="preserve">Expected effect</w:t>
            </w:r>
          </w:p>
        </w:tc>
      </w:tr>
      <w:tr>
        <w:trPr>
          <w:trHeight w:val="1" w:hRule="atLeast"/>
          <w:jc w:val="center"/>
        </w:trPr>
        <w:tc>
          <w:tcPr>
            <w:tcW w:w="4997"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Improved conversion</w:t>
            </w:r>
          </w:p>
        </w:tc>
        <w:tc>
          <w:tcPr>
            <w:tcW w:w="4997"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More complete requests and faster first response increase win rates</w:t>
            </w:r>
          </w:p>
        </w:tc>
      </w:tr>
      <w:tr>
        <w:trPr>
          <w:trHeight w:val="1" w:hRule="atLeast"/>
          <w:jc w:val="center"/>
        </w:trPr>
        <w:tc>
          <w:tcPr>
            <w:tcW w:w="4997" w:type="dxa"/>
            <w:tcBorders>
              <w:top w:val="single" w:color="c7d2d9" w:sz="7"/>
              <w:left w:val="single" w:color="c7d2d9" w:sz="7"/>
              <w:bottom w:val="single" w:color="c7d2d9" w:sz="7"/>
              <w:right w:val="single" w:color="c7d2d9" w:sz="7"/>
            </w:tcBorders>
            <w:shd w:color="000000" w:fill="ffffff" w:val="clear"/>
            <w:tcMar>
              <w:left w:w="108" w:type="dxa"/>
              <w:right w:w="108" w:type="dxa"/>
            </w:tcMar>
            <w:vAlign w:val="center"/>
          </w:tcPr>
          <w:p>
            <w:pPr>
              <w:spacing w:before="0" w:after="0" w:line="245"/>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Operational efficiency</w:t>
            </w:r>
          </w:p>
        </w:tc>
        <w:tc>
          <w:tcPr>
            <w:tcW w:w="4997" w:type="dxa"/>
            <w:tcBorders>
              <w:top w:val="single" w:color="c7d2d9" w:sz="7"/>
              <w:left w:val="single" w:color="c7d2d9" w:sz="7"/>
              <w:bottom w:val="single" w:color="c7d2d9" w:sz="7"/>
              <w:right w:val="single" w:color="c7d2d9" w:sz="7"/>
            </w:tcBorders>
            <w:shd w:color="000000" w:fill="ffffff"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Reduced manual triage, fewer mismatched assignments, and less rework</w:t>
            </w:r>
          </w:p>
        </w:tc>
      </w:tr>
      <w:tr>
        <w:trPr>
          <w:trHeight w:val="1" w:hRule="atLeast"/>
          <w:jc w:val="center"/>
        </w:trPr>
        <w:tc>
          <w:tcPr>
            <w:tcW w:w="4997"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Analytics upsell</w:t>
            </w:r>
          </w:p>
        </w:tc>
        <w:tc>
          <w:tcPr>
            <w:tcW w:w="4997"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Premium AI analysis commands higher price points than flight-only services</w:t>
            </w:r>
          </w:p>
        </w:tc>
      </w:tr>
      <w:tr>
        <w:trPr>
          <w:trHeight w:val="1" w:hRule="atLeast"/>
          <w:jc w:val="center"/>
        </w:trPr>
        <w:tc>
          <w:tcPr>
            <w:tcW w:w="4997" w:type="dxa"/>
            <w:tcBorders>
              <w:top w:val="single" w:color="c7d2d9" w:sz="7"/>
              <w:left w:val="single" w:color="c7d2d9" w:sz="7"/>
              <w:bottom w:val="single" w:color="c7d2d9" w:sz="7"/>
              <w:right w:val="single" w:color="c7d2d9" w:sz="7"/>
            </w:tcBorders>
            <w:shd w:color="000000" w:fill="ffffff" w:val="clear"/>
            <w:tcMar>
              <w:left w:w="108" w:type="dxa"/>
              <w:right w:w="108" w:type="dxa"/>
            </w:tcMar>
            <w:vAlign w:val="center"/>
          </w:tcPr>
          <w:p>
            <w:pPr>
              <w:spacing w:before="0" w:after="0" w:line="245"/>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Recurring services</w:t>
            </w:r>
          </w:p>
        </w:tc>
        <w:tc>
          <w:tcPr>
            <w:tcW w:w="4997" w:type="dxa"/>
            <w:tcBorders>
              <w:top w:val="single" w:color="c7d2d9" w:sz="7"/>
              <w:left w:val="single" w:color="c7d2d9" w:sz="7"/>
              <w:bottom w:val="single" w:color="c7d2d9" w:sz="7"/>
              <w:right w:val="single" w:color="c7d2d9" w:sz="7"/>
            </w:tcBorders>
            <w:shd w:color="000000" w:fill="ffffff"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Monthly or quarterly monitoring contracts improve revenue predictability</w:t>
            </w:r>
          </w:p>
        </w:tc>
      </w:tr>
      <w:tr>
        <w:trPr>
          <w:trHeight w:val="1" w:hRule="atLeast"/>
          <w:jc w:val="center"/>
        </w:trPr>
        <w:tc>
          <w:tcPr>
            <w:tcW w:w="4997"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Enterprise retention</w:t>
            </w:r>
          </w:p>
        </w:tc>
        <w:tc>
          <w:tcPr>
            <w:tcW w:w="4997"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Status tracking, document history, and reliable reporting improve repeat business</w:t>
            </w:r>
          </w:p>
        </w:tc>
      </w:tr>
    </w:tbl>
    <w:p>
      <w:pPr>
        <w:spacing w:before="240" w:after="100" w:line="276"/>
        <w:ind w:right="0" w:left="0" w:firstLine="0"/>
        <w:jc w:val="left"/>
        <w:rPr>
          <w:rFonts w:ascii="Aptos" w:hAnsi="Aptos" w:cs="Aptos" w:eastAsia="Aptos"/>
          <w:color w:val="auto"/>
          <w:spacing w:val="0"/>
          <w:position w:val="0"/>
          <w:sz w:val="21"/>
          <w:shd w:fill="auto" w:val="clear"/>
        </w:rPr>
      </w:pPr>
      <w:r>
        <w:rPr>
          <w:rFonts w:ascii="Aptos Display" w:hAnsi="Aptos Display" w:cs="Aptos Display" w:eastAsia="Aptos Display"/>
          <w:b/>
          <w:color w:val="0A3946"/>
          <w:spacing w:val="0"/>
          <w:position w:val="0"/>
          <w:sz w:val="26"/>
          <w:shd w:fill="auto" w:val="clear"/>
        </w:rPr>
        <w:t xml:space="preserve">9. Constraints, Risks, and Controls</w:t>
      </w:r>
    </w:p>
    <w:tbl>
      <w:tblPr/>
      <w:tblGrid>
        <w:gridCol w:w="4997"/>
        <w:gridCol w:w="4997"/>
      </w:tblGrid>
      <w:tr>
        <w:trPr>
          <w:trHeight w:val="1" w:hRule="atLeast"/>
          <w:jc w:val="center"/>
        </w:trPr>
        <w:tc>
          <w:tcPr>
            <w:tcW w:w="4997" w:type="dxa"/>
            <w:tcBorders>
              <w:top w:val="single" w:color="c4d3d9" w:sz="7"/>
              <w:left w:val="single" w:color="c4d3d9" w:sz="7"/>
              <w:bottom w:val="single" w:color="c4d3d9" w:sz="7"/>
              <w:right w:val="single" w:color="c4d3d9" w:sz="7"/>
            </w:tcBorders>
            <w:shd w:color="000000" w:fill="eaf2f5"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b/>
                <w:color w:val="0A3946"/>
                <w:spacing w:val="0"/>
                <w:position w:val="0"/>
                <w:sz w:val="20"/>
                <w:shd w:fill="auto" w:val="clear"/>
              </w:rPr>
              <w:t xml:space="preserve">Key constraints</w:t>
            </w:r>
          </w:p>
        </w:tc>
        <w:tc>
          <w:tcPr>
            <w:tcW w:w="4997" w:type="dxa"/>
            <w:tcBorders>
              <w:top w:val="single" w:color="c4d3d9" w:sz="7"/>
              <w:left w:val="single" w:color="c4d3d9" w:sz="7"/>
              <w:bottom w:val="single" w:color="c4d3d9" w:sz="7"/>
              <w:right w:val="single" w:color="c4d3d9" w:sz="7"/>
            </w:tcBorders>
            <w:shd w:color="000000" w:fill="ffffff"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Fast launch expectations, compliance requirements, data security, external API dependencies, pilot supply quality, and the need for explainable AI recommendations</w:t>
            </w:r>
          </w:p>
        </w:tc>
      </w:tr>
      <w:tr>
        <w:trPr>
          <w:trHeight w:val="1" w:hRule="atLeast"/>
          <w:jc w:val="center"/>
        </w:trPr>
        <w:tc>
          <w:tcPr>
            <w:tcW w:w="4997" w:type="dxa"/>
            <w:tcBorders>
              <w:top w:val="single" w:color="c4d3d9" w:sz="7"/>
              <w:left w:val="single" w:color="c4d3d9" w:sz="7"/>
              <w:bottom w:val="single" w:color="c4d3d9" w:sz="7"/>
              <w:right w:val="single" w:color="c4d3d9" w:sz="7"/>
            </w:tcBorders>
            <w:shd w:color="000000" w:fill="eaf2f5"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b/>
                <w:color w:val="0A3946"/>
                <w:spacing w:val="0"/>
                <w:position w:val="0"/>
                <w:sz w:val="20"/>
                <w:shd w:fill="auto" w:val="clear"/>
              </w:rPr>
              <w:t xml:space="preserve">Operational risks</w:t>
            </w:r>
          </w:p>
        </w:tc>
        <w:tc>
          <w:tcPr>
            <w:tcW w:w="4997" w:type="dxa"/>
            <w:tcBorders>
              <w:top w:val="single" w:color="c4d3d9" w:sz="7"/>
              <w:left w:val="single" w:color="c4d3d9" w:sz="7"/>
              <w:bottom w:val="single" w:color="c4d3d9" w:sz="7"/>
              <w:right w:val="single" w:color="c4d3d9" w:sz="7"/>
            </w:tcBorders>
            <w:shd w:color="000000" w:fill="ffffff"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Insufficient pilot coverage, inaccurate scoping, weather disruption, unsafe mission requests, and inconsistent report quality</w:t>
            </w:r>
          </w:p>
        </w:tc>
      </w:tr>
      <w:tr>
        <w:trPr>
          <w:trHeight w:val="1" w:hRule="atLeast"/>
          <w:jc w:val="center"/>
        </w:trPr>
        <w:tc>
          <w:tcPr>
            <w:tcW w:w="4997" w:type="dxa"/>
            <w:tcBorders>
              <w:top w:val="single" w:color="c4d3d9" w:sz="7"/>
              <w:left w:val="single" w:color="c4d3d9" w:sz="7"/>
              <w:bottom w:val="single" w:color="c4d3d9" w:sz="7"/>
              <w:right w:val="single" w:color="c4d3d9" w:sz="7"/>
            </w:tcBorders>
            <w:shd w:color="000000" w:fill="eaf2f5"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b/>
                <w:color w:val="0A3946"/>
                <w:spacing w:val="0"/>
                <w:position w:val="0"/>
                <w:sz w:val="20"/>
                <w:shd w:fill="auto" w:val="clear"/>
              </w:rPr>
              <w:t xml:space="preserve">Controls</w:t>
            </w:r>
          </w:p>
        </w:tc>
        <w:tc>
          <w:tcPr>
            <w:tcW w:w="4997" w:type="dxa"/>
            <w:tcBorders>
              <w:top w:val="single" w:color="c4d3d9" w:sz="7"/>
              <w:left w:val="single" w:color="c4d3d9" w:sz="7"/>
              <w:bottom w:val="single" w:color="c4d3d9" w:sz="7"/>
              <w:right w:val="single" w:color="c4d3d9" w:sz="7"/>
            </w:tcBorders>
            <w:shd w:color="000000" w:fill="ffffff" w:val="clear"/>
            <w:tcMar>
              <w:left w:w="108" w:type="dxa"/>
              <w:right w:w="108" w:type="dxa"/>
            </w:tcMar>
            <w:vAlign w:val="center"/>
          </w:tcPr>
          <w:p>
            <w:pPr>
              <w:spacing w:before="0" w:after="20" w:line="252"/>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Human approval thresholds, credential validation, audit logs, explainable ranking rationale, secured storage, role-based access, and monitored AI outputs</w:t>
            </w:r>
          </w:p>
        </w:tc>
      </w:tr>
    </w:tbl>
    <w:p>
      <w:pPr>
        <w:spacing w:before="240" w:after="100" w:line="276"/>
        <w:ind w:right="0" w:left="0" w:firstLine="0"/>
        <w:jc w:val="left"/>
        <w:rPr>
          <w:rFonts w:ascii="Aptos" w:hAnsi="Aptos" w:cs="Aptos" w:eastAsia="Aptos"/>
          <w:color w:val="auto"/>
          <w:spacing w:val="0"/>
          <w:position w:val="0"/>
          <w:sz w:val="21"/>
          <w:shd w:fill="auto" w:val="clear"/>
        </w:rPr>
      </w:pPr>
      <w:r>
        <w:rPr>
          <w:rFonts w:ascii="Aptos Display" w:hAnsi="Aptos Display" w:cs="Aptos Display" w:eastAsia="Aptos Display"/>
          <w:b/>
          <w:color w:val="0A3946"/>
          <w:spacing w:val="0"/>
          <w:position w:val="0"/>
          <w:sz w:val="26"/>
          <w:shd w:fill="auto" w:val="clear"/>
        </w:rPr>
        <w:t xml:space="preserve">10. Success Measures</w:t>
      </w:r>
    </w:p>
    <w:p>
      <w:pPr>
        <w:numPr>
          <w:ilvl w:val="0"/>
          <w:numId w:val="105"/>
        </w:numPr>
        <w:tabs>
          <w:tab w:val="left" w:pos="360" w:leader="none"/>
        </w:tabs>
        <w:spacing w:before="0" w:after="40" w:line="259"/>
        <w:ind w:right="0" w:left="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Request-to-assignment cycle time reduced by at least 30 percent after stabilization.</w:t>
      </w:r>
    </w:p>
    <w:p>
      <w:pPr>
        <w:numPr>
          <w:ilvl w:val="0"/>
          <w:numId w:val="105"/>
        </w:numPr>
        <w:tabs>
          <w:tab w:val="left" w:pos="360" w:leader="none"/>
        </w:tabs>
        <w:spacing w:before="0" w:after="40" w:line="259"/>
        <w:ind w:right="0" w:left="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Increase in request completion quality and decrease in manual clarifications.</w:t>
      </w:r>
    </w:p>
    <w:p>
      <w:pPr>
        <w:numPr>
          <w:ilvl w:val="0"/>
          <w:numId w:val="105"/>
        </w:numPr>
        <w:tabs>
          <w:tab w:val="left" w:pos="360" w:leader="none"/>
        </w:tabs>
        <w:spacing w:before="0" w:after="40" w:line="259"/>
        <w:ind w:right="0" w:left="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Higher pilot response rate within bid windows for qualified jobs.</w:t>
      </w:r>
    </w:p>
    <w:p>
      <w:pPr>
        <w:numPr>
          <w:ilvl w:val="0"/>
          <w:numId w:val="105"/>
        </w:numPr>
        <w:tabs>
          <w:tab w:val="left" w:pos="360" w:leader="none"/>
        </w:tabs>
        <w:spacing w:before="0" w:after="40" w:line="259"/>
        <w:ind w:right="0" w:left="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Growth in premium analytics attachment rate and recurring-service contracts.</w:t>
      </w:r>
    </w:p>
    <w:p>
      <w:pPr>
        <w:numPr>
          <w:ilvl w:val="0"/>
          <w:numId w:val="105"/>
        </w:numPr>
        <w:tabs>
          <w:tab w:val="left" w:pos="360" w:leader="none"/>
        </w:tabs>
        <w:spacing w:before="0" w:after="40" w:line="259"/>
        <w:ind w:right="0" w:left="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Client satisfaction gains through faster delivery, clearer reporting, and transparent status tracking.</w:t>
      </w:r>
    </w:p>
    <w:p>
      <w:pPr>
        <w:numPr>
          <w:ilvl w:val="0"/>
          <w:numId w:val="105"/>
        </w:numPr>
        <w:tabs>
          <w:tab w:val="left" w:pos="360" w:leader="none"/>
        </w:tabs>
        <w:spacing w:before="0" w:after="40" w:line="259"/>
        <w:ind w:right="0" w:left="0" w:hanging="360"/>
        <w:jc w:val="left"/>
        <w:rPr>
          <w:rFonts w:ascii="Aptos" w:hAnsi="Aptos" w:cs="Aptos" w:eastAsia="Aptos"/>
          <w:color w:val="auto"/>
          <w:spacing w:val="0"/>
          <w:position w:val="0"/>
          <w:sz w:val="20"/>
          <w:shd w:fill="auto" w:val="clear"/>
        </w:rPr>
      </w:pPr>
      <w:r>
        <w:rPr>
          <w:rFonts w:ascii="Aptos" w:hAnsi="Aptos" w:cs="Aptos" w:eastAsia="Aptos"/>
          <w:color w:val="22282D"/>
          <w:spacing w:val="0"/>
          <w:position w:val="0"/>
          <w:sz w:val="20"/>
          <w:shd w:fill="auto" w:val="clear"/>
        </w:rPr>
        <w:t xml:space="preserve">Documented compliance and auditability for all accepted and completed missions.</w:t>
      </w:r>
    </w:p>
    <w:p>
      <w:pPr>
        <w:spacing w:before="240" w:after="100" w:line="276"/>
        <w:ind w:right="0" w:left="0" w:firstLine="0"/>
        <w:jc w:val="left"/>
        <w:rPr>
          <w:rFonts w:ascii="Aptos" w:hAnsi="Aptos" w:cs="Aptos" w:eastAsia="Aptos"/>
          <w:color w:val="auto"/>
          <w:spacing w:val="0"/>
          <w:position w:val="0"/>
          <w:sz w:val="21"/>
          <w:shd w:fill="auto" w:val="clear"/>
        </w:rPr>
      </w:pPr>
      <w:r>
        <w:rPr>
          <w:rFonts w:ascii="Aptos Display" w:hAnsi="Aptos Display" w:cs="Aptos Display" w:eastAsia="Aptos Display"/>
          <w:b/>
          <w:color w:val="0A3946"/>
          <w:spacing w:val="0"/>
          <w:position w:val="0"/>
          <w:sz w:val="26"/>
          <w:shd w:fill="auto" w:val="clear"/>
        </w:rPr>
        <w:t xml:space="preserve">11. Recommended Delivery Phases</w:t>
      </w:r>
    </w:p>
    <w:tbl>
      <w:tblPr/>
      <w:tblGrid>
        <w:gridCol w:w="3331"/>
        <w:gridCol w:w="3331"/>
        <w:gridCol w:w="3331"/>
      </w:tblGrid>
      <w:tr>
        <w:trPr>
          <w:trHeight w:val="1" w:hRule="atLeast"/>
          <w:jc w:val="center"/>
        </w:trPr>
        <w:tc>
          <w:tcPr>
            <w:tcW w:w="3331" w:type="dxa"/>
            <w:tcBorders>
              <w:top w:val="single" w:color="c7d2d9" w:sz="7"/>
              <w:left w:val="single" w:color="c7d2d9" w:sz="7"/>
              <w:bottom w:val="single" w:color="c7d2d9" w:sz="7"/>
              <w:right w:val="single" w:color="c7d2d9" w:sz="7"/>
            </w:tcBorders>
            <w:shd w:color="000000" w:fill="d9eef3" w:val="clear"/>
            <w:tcMar>
              <w:left w:w="108" w:type="dxa"/>
              <w:right w:w="108" w:type="dxa"/>
            </w:tcMar>
            <w:vAlign w:val="center"/>
          </w:tcPr>
          <w:p>
            <w:pPr>
              <w:spacing w:before="0" w:after="0" w:line="276"/>
              <w:ind w:right="0" w:left="0" w:firstLine="0"/>
              <w:jc w:val="center"/>
              <w:rPr>
                <w:spacing w:val="0"/>
                <w:position w:val="0"/>
                <w:shd w:fill="auto" w:val="clear"/>
              </w:rPr>
            </w:pPr>
            <w:r>
              <w:rPr>
                <w:rFonts w:ascii="Aptos" w:hAnsi="Aptos" w:cs="Aptos" w:eastAsia="Aptos"/>
                <w:b/>
                <w:color w:val="0A3946"/>
                <w:spacing w:val="0"/>
                <w:position w:val="0"/>
                <w:sz w:val="20"/>
                <w:shd w:fill="auto" w:val="clear"/>
              </w:rPr>
              <w:t xml:space="preserve">Phase</w:t>
            </w:r>
          </w:p>
        </w:tc>
        <w:tc>
          <w:tcPr>
            <w:tcW w:w="3331" w:type="dxa"/>
            <w:tcBorders>
              <w:top w:val="single" w:color="c7d2d9" w:sz="7"/>
              <w:left w:val="single" w:color="c7d2d9" w:sz="7"/>
              <w:bottom w:val="single" w:color="c7d2d9" w:sz="7"/>
              <w:right w:val="single" w:color="c7d2d9" w:sz="7"/>
            </w:tcBorders>
            <w:shd w:color="000000" w:fill="d9eef3" w:val="clear"/>
            <w:tcMar>
              <w:left w:w="108" w:type="dxa"/>
              <w:right w:w="108" w:type="dxa"/>
            </w:tcMar>
            <w:vAlign w:val="center"/>
          </w:tcPr>
          <w:p>
            <w:pPr>
              <w:spacing w:before="0" w:after="0" w:line="276"/>
              <w:ind w:right="0" w:left="0" w:firstLine="0"/>
              <w:jc w:val="center"/>
              <w:rPr>
                <w:spacing w:val="0"/>
                <w:position w:val="0"/>
                <w:shd w:fill="auto" w:val="clear"/>
              </w:rPr>
            </w:pPr>
            <w:r>
              <w:rPr>
                <w:rFonts w:ascii="Aptos" w:hAnsi="Aptos" w:cs="Aptos" w:eastAsia="Aptos"/>
                <w:b/>
                <w:color w:val="0A3946"/>
                <w:spacing w:val="0"/>
                <w:position w:val="0"/>
                <w:sz w:val="20"/>
                <w:shd w:fill="auto" w:val="clear"/>
              </w:rPr>
              <w:t xml:space="preserve">Focus</w:t>
            </w:r>
          </w:p>
        </w:tc>
        <w:tc>
          <w:tcPr>
            <w:tcW w:w="3331" w:type="dxa"/>
            <w:tcBorders>
              <w:top w:val="single" w:color="c7d2d9" w:sz="7"/>
              <w:left w:val="single" w:color="c7d2d9" w:sz="7"/>
              <w:bottom w:val="single" w:color="c7d2d9" w:sz="7"/>
              <w:right w:val="single" w:color="c7d2d9" w:sz="7"/>
            </w:tcBorders>
            <w:shd w:color="000000" w:fill="d9eef3" w:val="clear"/>
            <w:tcMar>
              <w:left w:w="108" w:type="dxa"/>
              <w:right w:w="108" w:type="dxa"/>
            </w:tcMar>
            <w:vAlign w:val="center"/>
          </w:tcPr>
          <w:p>
            <w:pPr>
              <w:spacing w:before="0" w:after="0" w:line="276"/>
              <w:ind w:right="0" w:left="0" w:firstLine="0"/>
              <w:jc w:val="center"/>
              <w:rPr>
                <w:spacing w:val="0"/>
                <w:position w:val="0"/>
                <w:shd w:fill="auto" w:val="clear"/>
              </w:rPr>
            </w:pPr>
            <w:r>
              <w:rPr>
                <w:rFonts w:ascii="Aptos" w:hAnsi="Aptos" w:cs="Aptos" w:eastAsia="Aptos"/>
                <w:b/>
                <w:color w:val="0A3946"/>
                <w:spacing w:val="0"/>
                <w:position w:val="0"/>
                <w:sz w:val="20"/>
                <w:shd w:fill="auto" w:val="clear"/>
              </w:rPr>
              <w:t xml:space="preserve">Representative deliverables</w:t>
            </w:r>
          </w:p>
        </w:tc>
      </w:tr>
      <w:tr>
        <w:trPr>
          <w:trHeight w:val="1" w:hRule="atLeast"/>
          <w:jc w:val="center"/>
        </w:trPr>
        <w:tc>
          <w:tcPr>
            <w:tcW w:w="3331"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Phase 1</w:t>
            </w:r>
          </w:p>
        </w:tc>
        <w:tc>
          <w:tcPr>
            <w:tcW w:w="3331"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Digital foundation</w:t>
            </w:r>
          </w:p>
        </w:tc>
        <w:tc>
          <w:tcPr>
            <w:tcW w:w="3331"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Client portal, structured request capture, pilot bidding, assignment workflow, notifications, invoicing, and compliance recordkeeping</w:t>
            </w:r>
          </w:p>
        </w:tc>
      </w:tr>
      <w:tr>
        <w:trPr>
          <w:trHeight w:val="1" w:hRule="atLeast"/>
          <w:jc w:val="center"/>
        </w:trPr>
        <w:tc>
          <w:tcPr>
            <w:tcW w:w="3331" w:type="dxa"/>
            <w:tcBorders>
              <w:top w:val="single" w:color="c7d2d9" w:sz="7"/>
              <w:left w:val="single" w:color="c7d2d9" w:sz="7"/>
              <w:bottom w:val="single" w:color="c7d2d9" w:sz="7"/>
              <w:right w:val="single" w:color="c7d2d9" w:sz="7"/>
            </w:tcBorders>
            <w:shd w:color="000000" w:fill="ffffff" w:val="clear"/>
            <w:tcMar>
              <w:left w:w="108" w:type="dxa"/>
              <w:right w:w="108" w:type="dxa"/>
            </w:tcMar>
            <w:vAlign w:val="center"/>
          </w:tcPr>
          <w:p>
            <w:pPr>
              <w:spacing w:before="0" w:after="0" w:line="245"/>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Phase 2</w:t>
            </w:r>
          </w:p>
        </w:tc>
        <w:tc>
          <w:tcPr>
            <w:tcW w:w="3331" w:type="dxa"/>
            <w:tcBorders>
              <w:top w:val="single" w:color="c7d2d9" w:sz="7"/>
              <w:left w:val="single" w:color="c7d2d9" w:sz="7"/>
              <w:bottom w:val="single" w:color="c7d2d9" w:sz="7"/>
              <w:right w:val="single" w:color="c7d2d9" w:sz="7"/>
            </w:tcBorders>
            <w:shd w:color="000000" w:fill="ffffff"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AI operations layer</w:t>
            </w:r>
          </w:p>
        </w:tc>
        <w:tc>
          <w:tcPr>
            <w:tcW w:w="3331" w:type="dxa"/>
            <w:tcBorders>
              <w:top w:val="single" w:color="c7d2d9" w:sz="7"/>
              <w:left w:val="single" w:color="c7d2d9" w:sz="7"/>
              <w:bottom w:val="single" w:color="c7d2d9" w:sz="7"/>
              <w:right w:val="single" w:color="c7d2d9" w:sz="7"/>
            </w:tcBorders>
            <w:shd w:color="000000" w:fill="ffffff"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Smart intake, service recommendation, pricing guidance, pilot ranking, feasibility scoring, and AI-assisted support</w:t>
            </w:r>
          </w:p>
        </w:tc>
      </w:tr>
      <w:tr>
        <w:trPr>
          <w:trHeight w:val="1" w:hRule="atLeast"/>
          <w:jc w:val="center"/>
        </w:trPr>
        <w:tc>
          <w:tcPr>
            <w:tcW w:w="3331"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left"/>
              <w:rPr>
                <w:spacing w:val="0"/>
                <w:position w:val="0"/>
                <w:shd w:fill="auto" w:val="clear"/>
              </w:rPr>
            </w:pPr>
            <w:r>
              <w:rPr>
                <w:rFonts w:ascii="Aptos" w:hAnsi="Aptos" w:cs="Aptos" w:eastAsia="Aptos"/>
                <w:color w:val="22282D"/>
                <w:spacing w:val="0"/>
                <w:position w:val="0"/>
                <w:sz w:val="20"/>
                <w:shd w:fill="auto" w:val="clear"/>
              </w:rPr>
              <w:t xml:space="preserve">Phase 3</w:t>
            </w:r>
          </w:p>
        </w:tc>
        <w:tc>
          <w:tcPr>
            <w:tcW w:w="3331"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Advanced analytics products</w:t>
            </w:r>
          </w:p>
        </w:tc>
        <w:tc>
          <w:tcPr>
            <w:tcW w:w="3331" w:type="dxa"/>
            <w:tcBorders>
              <w:top w:val="single" w:color="c7d2d9" w:sz="7"/>
              <w:left w:val="single" w:color="c7d2d9" w:sz="7"/>
              <w:bottom w:val="single" w:color="c7d2d9" w:sz="7"/>
              <w:right w:val="single" w:color="c7d2d9" w:sz="7"/>
            </w:tcBorders>
            <w:shd w:color="000000" w:fill="fbfcfd" w:val="clear"/>
            <w:tcMar>
              <w:left w:w="108" w:type="dxa"/>
              <w:right w:w="108" w:type="dxa"/>
            </w:tcMar>
            <w:vAlign w:val="center"/>
          </w:tcPr>
          <w:p>
            <w:pPr>
              <w:spacing w:before="0" w:after="0" w:line="245"/>
              <w:ind w:right="0" w:left="0" w:firstLine="0"/>
              <w:jc w:val="center"/>
              <w:rPr>
                <w:spacing w:val="0"/>
                <w:position w:val="0"/>
                <w:shd w:fill="auto" w:val="clear"/>
              </w:rPr>
            </w:pPr>
            <w:r>
              <w:rPr>
                <w:rFonts w:ascii="Aptos" w:hAnsi="Aptos" w:cs="Aptos" w:eastAsia="Aptos"/>
                <w:color w:val="22282D"/>
                <w:spacing w:val="0"/>
                <w:position w:val="0"/>
                <w:sz w:val="20"/>
                <w:shd w:fill="auto" w:val="clear"/>
              </w:rPr>
              <w:t xml:space="preserve">Automated image analysis, premium reports, enterprise dashboards, subscription monitoring, and deeper trend analysis</w:t>
            </w:r>
          </w:p>
        </w:tc>
      </w:tr>
    </w:tbl>
    <w:p>
      <w:pPr>
        <w:spacing w:before="240" w:after="1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1">
    <w:lvl w:ilvl="0">
      <w:start w:val="1"/>
      <w:numFmt w:val="decimal"/>
      <w:lvlText w:val="%1."/>
    </w:lvl>
  </w:abstractNum>
  <w:abstractNum w:abstractNumId="6">
    <w:lvl w:ilvl="0">
      <w:start w:val="1"/>
      <w:numFmt w:val="bullet"/>
      <w:lvlText w:val="•"/>
    </w:lvl>
  </w:abstractNum>
  <w:num w:numId="27">
    <w:abstractNumId w:val="6"/>
  </w:num>
  <w:num w:numId="62">
    <w:abstractNumId w:val="1"/>
  </w:num>
  <w:num w:numId="10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